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FF8D" w14:textId="77777777" w:rsidR="00C36261" w:rsidRPr="00C36261" w:rsidRDefault="00C36261" w:rsidP="00C36261">
      <w:pPr>
        <w:ind w:right="-120"/>
        <w:jc w:val="both"/>
        <w:outlineLvl w:val="0"/>
        <w:rPr>
          <w:rFonts w:ascii="Times New Roman" w:eastAsia="Times New Roman" w:hAnsi="Times New Roman" w:cs="Times New Roman"/>
          <w:b/>
          <w:bCs/>
          <w:kern w:val="36"/>
          <w:sz w:val="48"/>
          <w:szCs w:val="48"/>
          <w:lang w:eastAsia="en-GB"/>
          <w14:ligatures w14:val="none"/>
        </w:rPr>
      </w:pPr>
      <w:r w:rsidRPr="00C36261">
        <w:rPr>
          <w:rFonts w:ascii="Arial" w:eastAsia="Times New Roman" w:hAnsi="Arial" w:cs="Arial"/>
          <w:b/>
          <w:bCs/>
          <w:color w:val="000000"/>
          <w:kern w:val="36"/>
          <w:sz w:val="22"/>
          <w:szCs w:val="22"/>
          <w:lang w:eastAsia="en-GB"/>
          <w14:ligatures w14:val="none"/>
        </w:rPr>
        <w:t>INTRODUCTION</w:t>
      </w:r>
    </w:p>
    <w:p w14:paraId="28C97335" w14:textId="77777777" w:rsidR="00C36261" w:rsidRPr="00C36261" w:rsidRDefault="00C36261" w:rsidP="00C36261">
      <w:pPr>
        <w:rPr>
          <w:rFonts w:ascii="Times New Roman" w:eastAsia="Times New Roman" w:hAnsi="Times New Roman" w:cs="Times New Roman"/>
          <w:kern w:val="0"/>
          <w:lang w:eastAsia="en-GB"/>
          <w14:ligatures w14:val="none"/>
        </w:rPr>
      </w:pPr>
    </w:p>
    <w:p w14:paraId="535572F6" w14:textId="6825470B" w:rsidR="00C36261" w:rsidRPr="00C36261" w:rsidRDefault="003D004E" w:rsidP="00C36261">
      <w:pPr>
        <w:jc w:val="both"/>
        <w:rPr>
          <w:rFonts w:ascii="Times New Roman" w:eastAsia="Times New Roman" w:hAnsi="Times New Roman" w:cs="Times New Roman"/>
          <w:kern w:val="0"/>
          <w:lang w:eastAsia="en-GB"/>
          <w14:ligatures w14:val="none"/>
        </w:rPr>
      </w:pPr>
      <w:proofErr w:type="spellStart"/>
      <w:r w:rsidRPr="003D004E">
        <w:rPr>
          <w:rFonts w:ascii="Arial" w:eastAsia="Times New Roman" w:hAnsi="Arial" w:cs="Arial"/>
          <w:color w:val="000000"/>
          <w:kern w:val="0"/>
          <w:sz w:val="22"/>
          <w:szCs w:val="22"/>
          <w:lang w:eastAsia="en-GB"/>
          <w14:ligatures w14:val="none"/>
        </w:rPr>
        <w:t>Payward</w:t>
      </w:r>
      <w:proofErr w:type="spellEnd"/>
      <w:r w:rsidRPr="003D004E">
        <w:rPr>
          <w:rFonts w:ascii="Arial" w:eastAsia="Times New Roman" w:hAnsi="Arial" w:cs="Arial"/>
          <w:color w:val="000000"/>
          <w:kern w:val="0"/>
          <w:sz w:val="22"/>
          <w:szCs w:val="22"/>
          <w:lang w:eastAsia="en-GB"/>
          <w14:ligatures w14:val="none"/>
        </w:rPr>
        <w:t xml:space="preserve"> Inc., d/b/a/ Kraken (“Kraken”) </w:t>
      </w:r>
      <w:r w:rsidR="00C36261" w:rsidRPr="00C36261">
        <w:rPr>
          <w:rFonts w:ascii="Arial" w:eastAsia="Times New Roman" w:hAnsi="Arial" w:cs="Arial"/>
          <w:color w:val="000000"/>
          <w:kern w:val="0"/>
          <w:sz w:val="22"/>
          <w:szCs w:val="22"/>
          <w:lang w:eastAsia="en-GB"/>
          <w14:ligatures w14:val="none"/>
        </w:rPr>
        <w:t xml:space="preserve">is pleased to respond to </w:t>
      </w:r>
      <w:r w:rsidR="00F84DAC">
        <w:rPr>
          <w:rFonts w:ascii="Arial" w:eastAsia="Times New Roman" w:hAnsi="Arial" w:cs="Arial"/>
          <w:color w:val="000000"/>
          <w:kern w:val="0"/>
          <w:sz w:val="22"/>
          <w:szCs w:val="22"/>
          <w:lang w:eastAsia="en-GB"/>
          <w14:ligatures w14:val="none"/>
        </w:rPr>
        <w:t>ESMA’s</w:t>
      </w:r>
      <w:r>
        <w:rPr>
          <w:rFonts w:ascii="Arial" w:eastAsia="Times New Roman" w:hAnsi="Arial" w:cs="Arial"/>
          <w:color w:val="000000"/>
          <w:kern w:val="0"/>
          <w:sz w:val="22"/>
          <w:szCs w:val="22"/>
          <w:lang w:eastAsia="en-GB"/>
          <w14:ligatures w14:val="none"/>
        </w:rPr>
        <w:t xml:space="preserve"> second</w:t>
      </w:r>
      <w:r w:rsidR="00C36261" w:rsidRPr="00C36261">
        <w:rPr>
          <w:rFonts w:ascii="Arial" w:eastAsia="Times New Roman" w:hAnsi="Arial" w:cs="Arial"/>
          <w:color w:val="000000"/>
          <w:kern w:val="0"/>
          <w:sz w:val="22"/>
          <w:szCs w:val="22"/>
          <w:lang w:eastAsia="en-GB"/>
          <w14:ligatures w14:val="none"/>
        </w:rPr>
        <w:t xml:space="preserve"> Public Consultation on Technical Standards specifying certain requirements of the Markets in Crypto-Assets (‘MiCA’) Regulation EU 2023/1114. </w:t>
      </w:r>
    </w:p>
    <w:p w14:paraId="10281A21" w14:textId="77777777" w:rsidR="00C36261" w:rsidRPr="00C36261" w:rsidRDefault="00C36261" w:rsidP="00C36261">
      <w:pPr>
        <w:rPr>
          <w:rFonts w:ascii="Times New Roman" w:eastAsia="Times New Roman" w:hAnsi="Times New Roman" w:cs="Times New Roman"/>
          <w:kern w:val="0"/>
          <w:lang w:eastAsia="en-GB"/>
          <w14:ligatures w14:val="none"/>
        </w:rPr>
      </w:pPr>
    </w:p>
    <w:p w14:paraId="6D7F1C2F" w14:textId="77777777" w:rsidR="00C36261" w:rsidRPr="00C36261" w:rsidRDefault="00C36261" w:rsidP="00C36261">
      <w:pPr>
        <w:jc w:val="both"/>
        <w:rPr>
          <w:rFonts w:ascii="Times New Roman" w:eastAsia="Times New Roman" w:hAnsi="Times New Roman" w:cs="Times New Roman"/>
          <w:kern w:val="0"/>
          <w:lang w:eastAsia="en-GB"/>
          <w14:ligatures w14:val="none"/>
        </w:rPr>
      </w:pPr>
      <w:r w:rsidRPr="00C36261">
        <w:rPr>
          <w:rFonts w:ascii="Arial" w:eastAsia="Times New Roman" w:hAnsi="Arial" w:cs="Arial"/>
          <w:color w:val="000000"/>
          <w:kern w:val="0"/>
          <w:sz w:val="22"/>
          <w:szCs w:val="22"/>
          <w:lang w:eastAsia="en-GB"/>
          <w14:ligatures w14:val="none"/>
        </w:rPr>
        <w:t xml:space="preserve">Kraken remains committed to growing its business in the EU regulatory perimeter. Our </w:t>
      </w:r>
      <w:r w:rsidRPr="00C36261">
        <w:rPr>
          <w:rFonts w:ascii="Arial" w:eastAsia="Times New Roman" w:hAnsi="Arial" w:cs="Arial"/>
          <w:color w:val="000000"/>
          <w:kern w:val="0"/>
          <w:sz w:val="22"/>
          <w:szCs w:val="22"/>
          <w:shd w:val="clear" w:color="auto" w:fill="FFFFFF"/>
          <w:lang w:eastAsia="en-GB"/>
          <w14:ligatures w14:val="none"/>
        </w:rPr>
        <w:t xml:space="preserve">Irish subsidiary </w:t>
      </w:r>
      <w:proofErr w:type="spellStart"/>
      <w:r w:rsidRPr="00C36261">
        <w:rPr>
          <w:rFonts w:ascii="Arial" w:eastAsia="Times New Roman" w:hAnsi="Arial" w:cs="Arial"/>
          <w:color w:val="000000"/>
          <w:kern w:val="0"/>
          <w:sz w:val="22"/>
          <w:szCs w:val="22"/>
          <w:shd w:val="clear" w:color="auto" w:fill="FFFFFF"/>
          <w:lang w:eastAsia="en-GB"/>
          <w14:ligatures w14:val="none"/>
        </w:rPr>
        <w:t>Payward</w:t>
      </w:r>
      <w:proofErr w:type="spellEnd"/>
      <w:r w:rsidRPr="00C36261">
        <w:rPr>
          <w:rFonts w:ascii="Arial" w:eastAsia="Times New Roman" w:hAnsi="Arial" w:cs="Arial"/>
          <w:color w:val="000000"/>
          <w:kern w:val="0"/>
          <w:sz w:val="22"/>
          <w:szCs w:val="22"/>
          <w:shd w:val="clear" w:color="auto" w:fill="FFFFFF"/>
          <w:lang w:eastAsia="en-GB"/>
          <w14:ligatures w14:val="none"/>
        </w:rPr>
        <w:t xml:space="preserve"> Europe Solutions Limited (‘PESL’) was granted registration </w:t>
      </w:r>
      <w:r w:rsidRPr="00C36261">
        <w:rPr>
          <w:rFonts w:ascii="Arial" w:eastAsia="Times New Roman" w:hAnsi="Arial" w:cs="Arial"/>
          <w:color w:val="000000"/>
          <w:kern w:val="0"/>
          <w:sz w:val="22"/>
          <w:szCs w:val="22"/>
          <w:lang w:eastAsia="en-GB"/>
          <w14:ligatures w14:val="none"/>
        </w:rPr>
        <w:t xml:space="preserve">as a Virtual Asset Service Provider (‘VASP’) with the Italian </w:t>
      </w:r>
      <w:proofErr w:type="spellStart"/>
      <w:r w:rsidRPr="00C36261">
        <w:rPr>
          <w:rFonts w:ascii="Arial" w:eastAsia="Times New Roman" w:hAnsi="Arial" w:cs="Arial"/>
          <w:color w:val="000000"/>
          <w:kern w:val="0"/>
          <w:sz w:val="22"/>
          <w:szCs w:val="22"/>
          <w:lang w:eastAsia="en-GB"/>
          <w14:ligatures w14:val="none"/>
        </w:rPr>
        <w:t>Organismo</w:t>
      </w:r>
      <w:proofErr w:type="spellEnd"/>
      <w:r w:rsidRPr="00C36261">
        <w:rPr>
          <w:rFonts w:ascii="Arial" w:eastAsia="Times New Roman" w:hAnsi="Arial" w:cs="Arial"/>
          <w:color w:val="000000"/>
          <w:kern w:val="0"/>
          <w:sz w:val="22"/>
          <w:szCs w:val="22"/>
          <w:lang w:eastAsia="en-GB"/>
          <w14:ligatures w14:val="none"/>
        </w:rPr>
        <w:t xml:space="preserve"> </w:t>
      </w:r>
      <w:proofErr w:type="spellStart"/>
      <w:r w:rsidRPr="00C36261">
        <w:rPr>
          <w:rFonts w:ascii="Arial" w:eastAsia="Times New Roman" w:hAnsi="Arial" w:cs="Arial"/>
          <w:color w:val="000000"/>
          <w:kern w:val="0"/>
          <w:sz w:val="22"/>
          <w:szCs w:val="22"/>
          <w:lang w:eastAsia="en-GB"/>
          <w14:ligatures w14:val="none"/>
        </w:rPr>
        <w:t>Agenti</w:t>
      </w:r>
      <w:proofErr w:type="spellEnd"/>
      <w:r w:rsidRPr="00C36261">
        <w:rPr>
          <w:rFonts w:ascii="Arial" w:eastAsia="Times New Roman" w:hAnsi="Arial" w:cs="Arial"/>
          <w:color w:val="000000"/>
          <w:kern w:val="0"/>
          <w:sz w:val="22"/>
          <w:szCs w:val="22"/>
          <w:lang w:eastAsia="en-GB"/>
          <w14:ligatures w14:val="none"/>
        </w:rPr>
        <w:t xml:space="preserve"> e </w:t>
      </w:r>
      <w:proofErr w:type="spellStart"/>
      <w:r w:rsidRPr="00C36261">
        <w:rPr>
          <w:rFonts w:ascii="Arial" w:eastAsia="Times New Roman" w:hAnsi="Arial" w:cs="Arial"/>
          <w:color w:val="000000"/>
          <w:kern w:val="0"/>
          <w:sz w:val="22"/>
          <w:szCs w:val="22"/>
          <w:lang w:eastAsia="en-GB"/>
          <w14:ligatures w14:val="none"/>
        </w:rPr>
        <w:t>Mediatori</w:t>
      </w:r>
      <w:proofErr w:type="spellEnd"/>
      <w:r w:rsidRPr="00C36261">
        <w:rPr>
          <w:rFonts w:ascii="Arial" w:eastAsia="Times New Roman" w:hAnsi="Arial" w:cs="Arial"/>
          <w:color w:val="000000"/>
          <w:kern w:val="0"/>
          <w:sz w:val="22"/>
          <w:szCs w:val="22"/>
          <w:lang w:eastAsia="en-GB"/>
          <w14:ligatures w14:val="none"/>
        </w:rPr>
        <w:t xml:space="preserve"> (‘OAM’) in June 2022, with the Central Bank of Ireland (‘CBI’) in April 2023, and with the Bank of Spain in September 2023. We are seeking further registrations and licences in the EU Member States as appropriate. This will include us applying for a Crypto-Asset Service Provider (‘CASP’) licence under MiCA, when available.</w:t>
      </w:r>
    </w:p>
    <w:p w14:paraId="406919C1" w14:textId="77777777" w:rsidR="00C36261" w:rsidRPr="00C36261" w:rsidRDefault="00C36261" w:rsidP="00C36261">
      <w:pPr>
        <w:rPr>
          <w:rFonts w:ascii="Times New Roman" w:eastAsia="Times New Roman" w:hAnsi="Times New Roman" w:cs="Times New Roman"/>
          <w:kern w:val="0"/>
          <w:lang w:eastAsia="en-GB"/>
          <w14:ligatures w14:val="none"/>
        </w:rPr>
      </w:pPr>
    </w:p>
    <w:p w14:paraId="1B0DE37F" w14:textId="77777777" w:rsidR="00C36261" w:rsidRPr="00C36261" w:rsidRDefault="00C36261" w:rsidP="00C36261">
      <w:pPr>
        <w:jc w:val="both"/>
        <w:rPr>
          <w:rFonts w:ascii="Times New Roman" w:eastAsia="Times New Roman" w:hAnsi="Times New Roman" w:cs="Times New Roman"/>
          <w:kern w:val="0"/>
          <w:lang w:eastAsia="en-GB"/>
          <w14:ligatures w14:val="none"/>
        </w:rPr>
      </w:pPr>
      <w:r w:rsidRPr="00C36261">
        <w:rPr>
          <w:rFonts w:ascii="Arial" w:eastAsia="Times New Roman" w:hAnsi="Arial" w:cs="Arial"/>
          <w:color w:val="000000"/>
          <w:kern w:val="0"/>
          <w:sz w:val="22"/>
          <w:szCs w:val="22"/>
          <w:lang w:eastAsia="en-GB"/>
          <w14:ligatures w14:val="none"/>
        </w:rPr>
        <w:t xml:space="preserve">Founded over 12 years ago, Kraken is one of the world’s oldest and largest global digital asset platforms. Kraken provides products and services to retail and institutional customers that support key components across the digital asset market value chain. Outside of the EU, Kraken holds </w:t>
      </w:r>
      <w:proofErr w:type="gramStart"/>
      <w:r w:rsidRPr="00C36261">
        <w:rPr>
          <w:rFonts w:ascii="Arial" w:eastAsia="Times New Roman" w:hAnsi="Arial" w:cs="Arial"/>
          <w:color w:val="000000"/>
          <w:kern w:val="0"/>
          <w:sz w:val="22"/>
          <w:szCs w:val="22"/>
          <w:lang w:eastAsia="en-GB"/>
          <w14:ligatures w14:val="none"/>
        </w:rPr>
        <w:t>a number of</w:t>
      </w:r>
      <w:proofErr w:type="gramEnd"/>
      <w:r w:rsidRPr="00C36261">
        <w:rPr>
          <w:rFonts w:ascii="Arial" w:eastAsia="Times New Roman" w:hAnsi="Arial" w:cs="Arial"/>
          <w:color w:val="000000"/>
          <w:kern w:val="0"/>
          <w:sz w:val="22"/>
          <w:szCs w:val="22"/>
          <w:lang w:eastAsia="en-GB"/>
          <w14:ligatures w14:val="none"/>
        </w:rPr>
        <w:t xml:space="preserve"> registrations, licences, authorisations and approvals including in the United States, United Kingdom, Canada, and Australia, among other developed and emerging markets.  Subject to local regulatory requirements and authorisations, Kraken’s global product and service offering includes crypto trading, investment, benchmarks, staking, banking, and others.  </w:t>
      </w:r>
    </w:p>
    <w:p w14:paraId="7EDD4591" w14:textId="77777777" w:rsidR="00C36261" w:rsidRPr="00C36261" w:rsidRDefault="00C36261" w:rsidP="00C36261">
      <w:pPr>
        <w:rPr>
          <w:rFonts w:ascii="Times New Roman" w:eastAsia="Times New Roman" w:hAnsi="Times New Roman" w:cs="Times New Roman"/>
          <w:kern w:val="0"/>
          <w:lang w:eastAsia="en-GB"/>
          <w14:ligatures w14:val="none"/>
        </w:rPr>
      </w:pPr>
    </w:p>
    <w:p w14:paraId="09C2C1FE" w14:textId="77777777" w:rsidR="00C36261" w:rsidRPr="00C36261" w:rsidRDefault="00C36261" w:rsidP="00C36261">
      <w:pPr>
        <w:jc w:val="both"/>
        <w:rPr>
          <w:rFonts w:ascii="Times New Roman" w:eastAsia="Times New Roman" w:hAnsi="Times New Roman" w:cs="Times New Roman"/>
          <w:kern w:val="0"/>
          <w:lang w:eastAsia="en-GB"/>
          <w14:ligatures w14:val="none"/>
        </w:rPr>
      </w:pPr>
      <w:r w:rsidRPr="00C36261">
        <w:rPr>
          <w:rFonts w:ascii="Arial" w:eastAsia="Times New Roman" w:hAnsi="Arial" w:cs="Arial"/>
          <w:color w:val="000000"/>
          <w:kern w:val="0"/>
          <w:sz w:val="22"/>
          <w:szCs w:val="22"/>
          <w:lang w:eastAsia="en-GB"/>
          <w14:ligatures w14:val="none"/>
        </w:rPr>
        <w:t>Kraken welcomes MiCA, as it provides legal certainty, including a clear path to licensing, and will enable the growth of our business in the EU in a manner which both protects customers and promotes confidence in the market.</w:t>
      </w:r>
    </w:p>
    <w:p w14:paraId="0F98D98F" w14:textId="77777777" w:rsidR="00C36261" w:rsidRPr="00C36261" w:rsidRDefault="00C36261" w:rsidP="00C36261">
      <w:pPr>
        <w:rPr>
          <w:rFonts w:ascii="Times New Roman" w:eastAsia="Times New Roman" w:hAnsi="Times New Roman" w:cs="Times New Roman"/>
          <w:kern w:val="0"/>
          <w:lang w:eastAsia="en-GB"/>
          <w14:ligatures w14:val="none"/>
        </w:rPr>
      </w:pPr>
    </w:p>
    <w:p w14:paraId="75DF03D6" w14:textId="77777777" w:rsidR="00C36261" w:rsidRPr="00C36261" w:rsidRDefault="00C36261" w:rsidP="00C36261">
      <w:pPr>
        <w:jc w:val="both"/>
        <w:rPr>
          <w:rFonts w:ascii="Times New Roman" w:eastAsia="Times New Roman" w:hAnsi="Times New Roman" w:cs="Times New Roman"/>
          <w:kern w:val="0"/>
          <w:lang w:eastAsia="en-GB"/>
          <w14:ligatures w14:val="none"/>
        </w:rPr>
      </w:pPr>
      <w:r w:rsidRPr="00C36261">
        <w:rPr>
          <w:rFonts w:ascii="Arial" w:eastAsia="Times New Roman" w:hAnsi="Arial" w:cs="Arial"/>
          <w:color w:val="000000"/>
          <w:kern w:val="0"/>
          <w:sz w:val="22"/>
          <w:szCs w:val="22"/>
          <w:lang w:eastAsia="en-GB"/>
          <w14:ligatures w14:val="none"/>
        </w:rPr>
        <w:t>We would be pleased to discuss any points or questions raised in further detail. </w:t>
      </w:r>
    </w:p>
    <w:p w14:paraId="07A30E20" w14:textId="77777777" w:rsidR="00C36261" w:rsidRPr="00C36261" w:rsidRDefault="00C36261" w:rsidP="00C36261">
      <w:pPr>
        <w:jc w:val="both"/>
        <w:rPr>
          <w:rFonts w:ascii="Times New Roman" w:eastAsia="Times New Roman" w:hAnsi="Times New Roman" w:cs="Times New Roman"/>
          <w:kern w:val="0"/>
          <w:lang w:eastAsia="en-GB"/>
          <w14:ligatures w14:val="none"/>
        </w:rPr>
      </w:pPr>
      <w:r w:rsidRPr="00C36261">
        <w:rPr>
          <w:rFonts w:ascii="Arial" w:eastAsia="Times New Roman" w:hAnsi="Arial" w:cs="Arial"/>
          <w:color w:val="000000"/>
          <w:kern w:val="0"/>
          <w:sz w:val="22"/>
          <w:szCs w:val="22"/>
          <w:lang w:eastAsia="en-GB"/>
          <w14:ligatures w14:val="none"/>
        </w:rPr>
        <w:t xml:space="preserve">Beata </w:t>
      </w:r>
      <w:proofErr w:type="spellStart"/>
      <w:r w:rsidRPr="00C36261">
        <w:rPr>
          <w:rFonts w:ascii="Arial" w:eastAsia="Times New Roman" w:hAnsi="Arial" w:cs="Arial"/>
          <w:color w:val="000000"/>
          <w:kern w:val="0"/>
          <w:sz w:val="22"/>
          <w:szCs w:val="22"/>
          <w:lang w:eastAsia="en-GB"/>
          <w14:ligatures w14:val="none"/>
        </w:rPr>
        <w:t>Sivak</w:t>
      </w:r>
      <w:proofErr w:type="spellEnd"/>
      <w:r w:rsidRPr="00C36261">
        <w:rPr>
          <w:rFonts w:ascii="Arial" w:eastAsia="Times New Roman" w:hAnsi="Arial" w:cs="Arial"/>
          <w:color w:val="000000"/>
          <w:kern w:val="0"/>
          <w:sz w:val="22"/>
          <w:szCs w:val="22"/>
          <w:lang w:eastAsia="en-GB"/>
          <w14:ligatures w14:val="none"/>
        </w:rPr>
        <w:t xml:space="preserve">, Head of EU Policy &amp; Government Relations </w:t>
      </w:r>
      <w:hyperlink r:id="rId7" w:history="1">
        <w:r w:rsidRPr="00C36261">
          <w:rPr>
            <w:rFonts w:ascii="Arial" w:eastAsia="Times New Roman" w:hAnsi="Arial" w:cs="Arial"/>
            <w:color w:val="000000"/>
            <w:kern w:val="0"/>
            <w:sz w:val="22"/>
            <w:szCs w:val="22"/>
            <w:u w:val="single"/>
            <w:lang w:eastAsia="en-GB"/>
            <w14:ligatures w14:val="none"/>
          </w:rPr>
          <w:t>beata.sivak@kraken.com</w:t>
        </w:r>
      </w:hyperlink>
    </w:p>
    <w:p w14:paraId="15618BF6" w14:textId="77777777" w:rsidR="00C36261" w:rsidRPr="00C36261" w:rsidRDefault="00C36261" w:rsidP="00C36261">
      <w:pPr>
        <w:rPr>
          <w:rFonts w:ascii="Times New Roman" w:eastAsia="Times New Roman" w:hAnsi="Times New Roman" w:cs="Times New Roman"/>
          <w:kern w:val="0"/>
          <w:lang w:eastAsia="en-GB"/>
          <w14:ligatures w14:val="none"/>
        </w:rPr>
      </w:pPr>
    </w:p>
    <w:p w14:paraId="5A4327E5" w14:textId="77777777" w:rsidR="00C36261" w:rsidRPr="00C36261" w:rsidRDefault="00C36261" w:rsidP="00C36261">
      <w:pPr>
        <w:ind w:right="-120"/>
        <w:outlineLvl w:val="0"/>
        <w:rPr>
          <w:rFonts w:ascii="Times New Roman" w:eastAsia="Times New Roman" w:hAnsi="Times New Roman" w:cs="Times New Roman"/>
          <w:b/>
          <w:bCs/>
          <w:kern w:val="36"/>
          <w:sz w:val="48"/>
          <w:szCs w:val="48"/>
          <w:lang w:eastAsia="en-GB"/>
          <w14:ligatures w14:val="none"/>
        </w:rPr>
      </w:pPr>
      <w:r w:rsidRPr="00C36261">
        <w:rPr>
          <w:rFonts w:ascii="Arial" w:eastAsia="Times New Roman" w:hAnsi="Arial" w:cs="Arial"/>
          <w:b/>
          <w:bCs/>
          <w:color w:val="000000"/>
          <w:kern w:val="36"/>
          <w:sz w:val="22"/>
          <w:szCs w:val="22"/>
          <w:lang w:eastAsia="en-GB"/>
          <w14:ligatures w14:val="none"/>
        </w:rPr>
        <w:t>SUMMARY</w:t>
      </w:r>
    </w:p>
    <w:p w14:paraId="5D5E59A0" w14:textId="77777777" w:rsidR="00C36261" w:rsidRPr="00C36261" w:rsidRDefault="00C36261" w:rsidP="00C36261">
      <w:pPr>
        <w:rPr>
          <w:rFonts w:ascii="Times New Roman" w:eastAsia="Times New Roman" w:hAnsi="Times New Roman" w:cs="Times New Roman"/>
          <w:kern w:val="0"/>
          <w:lang w:eastAsia="en-GB"/>
          <w14:ligatures w14:val="none"/>
        </w:rPr>
      </w:pPr>
      <w:r w:rsidRPr="00C36261">
        <w:rPr>
          <w:rFonts w:ascii="Times New Roman" w:eastAsia="Times New Roman" w:hAnsi="Times New Roman" w:cs="Times New Roman"/>
          <w:kern w:val="0"/>
          <w:lang w:eastAsia="en-GB"/>
          <w14:ligatures w14:val="none"/>
        </w:rPr>
        <w:br/>
      </w:r>
    </w:p>
    <w:p w14:paraId="07A13C60"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Sustainability Indicators</w:t>
      </w:r>
      <w:r w:rsidRPr="00C36261">
        <w:rPr>
          <w:rFonts w:ascii="Arial" w:eastAsia="Times New Roman" w:hAnsi="Arial" w:cs="Arial"/>
          <w:color w:val="000000"/>
          <w:kern w:val="0"/>
          <w:sz w:val="22"/>
          <w:szCs w:val="22"/>
          <w:lang w:eastAsia="en-GB"/>
          <w14:ligatures w14:val="none"/>
        </w:rPr>
        <w:t>: </w:t>
      </w:r>
    </w:p>
    <w:p w14:paraId="4F95DBE8"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We support the proposal to allow the use of estimates for disclosures where the sustainability data is missing or challenging to obtain with accuracy.  </w:t>
      </w:r>
    </w:p>
    <w:p w14:paraId="4322337D"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We recommend adding necessary flexibility in the disclosure of certain metrics, given this is a novel obligation, and we suggest not mandating some additional metrics, e.g. non-recycled water ratio.  </w:t>
      </w:r>
    </w:p>
    <w:p w14:paraId="121E24F2"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Business continuity</w:t>
      </w:r>
      <w:r w:rsidRPr="00C36261">
        <w:rPr>
          <w:rFonts w:ascii="Arial" w:eastAsia="Times New Roman" w:hAnsi="Arial" w:cs="Arial"/>
          <w:color w:val="000000"/>
          <w:kern w:val="0"/>
          <w:sz w:val="22"/>
          <w:szCs w:val="22"/>
          <w:lang w:eastAsia="en-GB"/>
          <w14:ligatures w14:val="none"/>
        </w:rPr>
        <w:t>: </w:t>
      </w:r>
    </w:p>
    <w:p w14:paraId="297C05EC"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We support the proportionality of the requirements, including not requiring a dedicated function for business continuity from CASPs and ask for more precise guidance in several areas, e.g. a “timely” communication to clients in the event of disruptions. </w:t>
      </w:r>
    </w:p>
    <w:p w14:paraId="15FBF672"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On communication to clients, we recommend the communication obligation to be reduced to only for those disruptions that have potential impact on the services of CASPs, as opposed to general notifications on disruptions on any DLT.</w:t>
      </w:r>
    </w:p>
    <w:p w14:paraId="7E2A205E"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Trade transparency</w:t>
      </w:r>
      <w:r w:rsidRPr="00C36261">
        <w:rPr>
          <w:rFonts w:ascii="Arial" w:eastAsia="Times New Roman" w:hAnsi="Arial" w:cs="Arial"/>
          <w:color w:val="000000"/>
          <w:kern w:val="0"/>
          <w:sz w:val="22"/>
          <w:szCs w:val="22"/>
          <w:lang w:eastAsia="en-GB"/>
          <w14:ligatures w14:val="none"/>
        </w:rPr>
        <w:t>: </w:t>
      </w:r>
    </w:p>
    <w:p w14:paraId="3128B5C1"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We appreciate that ESMA acknowledges that crypto and public blockchains are inherently more transparent than traditional asset classes, thus calibrating the transparency rules under MiCA appropriately, and included waiver-like </w:t>
      </w:r>
      <w:r w:rsidRPr="00C36261">
        <w:rPr>
          <w:rFonts w:ascii="Arial" w:eastAsia="Times New Roman" w:hAnsi="Arial" w:cs="Arial"/>
          <w:color w:val="000000"/>
          <w:kern w:val="0"/>
          <w:sz w:val="22"/>
          <w:szCs w:val="22"/>
          <w:lang w:eastAsia="en-GB"/>
          <w14:ligatures w14:val="none"/>
        </w:rPr>
        <w:lastRenderedPageBreak/>
        <w:t>provisions. Nevertheless, we suggest simplifying the data fields for pre- and post-trade transparency.</w:t>
      </w:r>
    </w:p>
    <w:p w14:paraId="01D16D7B" w14:textId="70EE8DD6"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We recommend ESMA draws a more clearly defined </w:t>
      </w:r>
      <w:r w:rsidRPr="00C36261">
        <w:rPr>
          <w:rFonts w:ascii="Arial" w:eastAsia="Times New Roman" w:hAnsi="Arial" w:cs="Arial"/>
          <w:color w:val="000000"/>
          <w:kern w:val="0"/>
          <w:sz w:val="22"/>
          <w:szCs w:val="22"/>
          <w:lang w:eastAsia="en-GB"/>
          <w14:ligatures w14:val="none"/>
        </w:rPr>
        <w:t>distinction between</w:t>
      </w:r>
      <w:r w:rsidRPr="00C36261">
        <w:rPr>
          <w:rFonts w:ascii="Arial" w:eastAsia="Times New Roman" w:hAnsi="Arial" w:cs="Arial"/>
          <w:color w:val="000000"/>
          <w:kern w:val="0"/>
          <w:sz w:val="22"/>
          <w:szCs w:val="22"/>
          <w:lang w:eastAsia="en-GB"/>
          <w14:ligatures w14:val="none"/>
        </w:rPr>
        <w:t xml:space="preserve"> “centralised exchange” CEX and “decentralised exchange” (DEX).  </w:t>
      </w:r>
    </w:p>
    <w:p w14:paraId="5A61BC48"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Record-keeping</w:t>
      </w:r>
      <w:r w:rsidRPr="00C36261">
        <w:rPr>
          <w:rFonts w:ascii="Arial" w:eastAsia="Times New Roman" w:hAnsi="Arial" w:cs="Arial"/>
          <w:color w:val="000000"/>
          <w:kern w:val="0"/>
          <w:sz w:val="22"/>
          <w:szCs w:val="22"/>
          <w:lang w:eastAsia="en-GB"/>
          <w14:ligatures w14:val="none"/>
        </w:rPr>
        <w:t>: </w:t>
      </w:r>
    </w:p>
    <w:p w14:paraId="728103A0"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We support the proposed requirements on record keeping. This is more proportionate than regulatory reporting. </w:t>
      </w:r>
    </w:p>
    <w:p w14:paraId="5A75106D" w14:textId="567CE4C3"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We recommend that core APIs could be </w:t>
      </w:r>
      <w:r w:rsidRPr="00C36261">
        <w:rPr>
          <w:rFonts w:ascii="Arial" w:eastAsia="Times New Roman" w:hAnsi="Arial" w:cs="Arial"/>
          <w:color w:val="000000"/>
          <w:kern w:val="0"/>
          <w:sz w:val="22"/>
          <w:szCs w:val="22"/>
          <w:lang w:eastAsia="en-GB"/>
          <w14:ligatures w14:val="none"/>
        </w:rPr>
        <w:t>harmonised but</w:t>
      </w:r>
      <w:r w:rsidRPr="00C36261">
        <w:rPr>
          <w:rFonts w:ascii="Arial" w:eastAsia="Times New Roman" w:hAnsi="Arial" w:cs="Arial"/>
          <w:color w:val="000000"/>
          <w:kern w:val="0"/>
          <w:sz w:val="22"/>
          <w:szCs w:val="22"/>
          <w:lang w:eastAsia="en-GB"/>
          <w14:ligatures w14:val="none"/>
        </w:rPr>
        <w:t xml:space="preserve"> allow for custom data to be added on top of the required fields. With regards to gas fees record keeping, we note that they are not associated with off-chain transactions and should only apply to on-chain transactions. </w:t>
      </w:r>
    </w:p>
    <w:p w14:paraId="580416D0"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White papers</w:t>
      </w:r>
      <w:r w:rsidRPr="00C36261">
        <w:rPr>
          <w:rFonts w:ascii="Arial" w:eastAsia="Times New Roman" w:hAnsi="Arial" w:cs="Arial"/>
          <w:color w:val="000000"/>
          <w:kern w:val="0"/>
          <w:sz w:val="22"/>
          <w:szCs w:val="22"/>
          <w:lang w:eastAsia="en-GB"/>
          <w14:ligatures w14:val="none"/>
        </w:rPr>
        <w:t>: </w:t>
      </w:r>
    </w:p>
    <w:p w14:paraId="2FEC1503"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We note that </w:t>
      </w:r>
      <w:proofErr w:type="spellStart"/>
      <w:r w:rsidRPr="00C36261">
        <w:rPr>
          <w:rFonts w:ascii="Arial" w:eastAsia="Times New Roman" w:hAnsi="Arial" w:cs="Arial"/>
          <w:color w:val="000000"/>
          <w:kern w:val="0"/>
          <w:sz w:val="22"/>
          <w:szCs w:val="22"/>
          <w:lang w:eastAsia="en-GB"/>
          <w14:ligatures w14:val="none"/>
        </w:rPr>
        <w:t>iXBRL</w:t>
      </w:r>
      <w:proofErr w:type="spellEnd"/>
      <w:r w:rsidRPr="00C36261">
        <w:rPr>
          <w:rFonts w:ascii="Arial" w:eastAsia="Times New Roman" w:hAnsi="Arial" w:cs="Arial"/>
          <w:color w:val="000000"/>
          <w:kern w:val="0"/>
          <w:sz w:val="22"/>
          <w:szCs w:val="22"/>
          <w:lang w:eastAsia="en-GB"/>
          <w14:ligatures w14:val="none"/>
        </w:rPr>
        <w:t xml:space="preserve"> is a new format for most in the industry, and while PDF is typically used, it is not machine readable. While we agree with ESMA that it may not be costly from the technology cost perspective, it will nevertheless require additional FTE in issuers relations, compliance, and others.</w:t>
      </w:r>
    </w:p>
    <w:p w14:paraId="0EEED9B4" w14:textId="77777777"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We support an editable template for whitepapers by ESMA to cover also the remaining sections of the whitepaper. We specify some data elements in the template of white paper which could use further clarifications e.g. “Information on the risks”.</w:t>
      </w:r>
    </w:p>
    <w:p w14:paraId="7C22780C" w14:textId="77777777" w:rsidR="00C36261" w:rsidRPr="00C36261" w:rsidRDefault="00C36261" w:rsidP="00C36261">
      <w:pPr>
        <w:numPr>
          <w:ilvl w:val="0"/>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b/>
          <w:bCs/>
          <w:color w:val="000000"/>
          <w:kern w:val="0"/>
          <w:sz w:val="22"/>
          <w:szCs w:val="22"/>
          <w:lang w:eastAsia="en-GB"/>
          <w14:ligatures w14:val="none"/>
        </w:rPr>
        <w:t>Inside information:</w:t>
      </w:r>
      <w:r w:rsidRPr="00C36261">
        <w:rPr>
          <w:rFonts w:ascii="Arial" w:eastAsia="Times New Roman" w:hAnsi="Arial" w:cs="Arial"/>
          <w:color w:val="000000"/>
          <w:kern w:val="0"/>
          <w:sz w:val="22"/>
          <w:szCs w:val="22"/>
          <w:lang w:eastAsia="en-GB"/>
          <w14:ligatures w14:val="none"/>
        </w:rPr>
        <w:t> </w:t>
      </w:r>
    </w:p>
    <w:p w14:paraId="51646443" w14:textId="77E13C94"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We </w:t>
      </w:r>
      <w:r w:rsidRPr="00C36261">
        <w:rPr>
          <w:rFonts w:ascii="Arial" w:eastAsia="Times New Roman" w:hAnsi="Arial" w:cs="Arial"/>
          <w:color w:val="000000"/>
          <w:kern w:val="0"/>
          <w:sz w:val="22"/>
          <w:szCs w:val="22"/>
          <w:lang w:eastAsia="en-GB"/>
          <w14:ligatures w14:val="none"/>
        </w:rPr>
        <w:t>support the</w:t>
      </w:r>
      <w:r w:rsidRPr="00C36261">
        <w:rPr>
          <w:rFonts w:ascii="Arial" w:eastAsia="Times New Roman" w:hAnsi="Arial" w:cs="Arial"/>
          <w:color w:val="000000"/>
          <w:kern w:val="0"/>
          <w:sz w:val="22"/>
          <w:szCs w:val="22"/>
          <w:lang w:eastAsia="en-GB"/>
          <w14:ligatures w14:val="none"/>
        </w:rPr>
        <w:t xml:space="preserve"> proposed definition of “inside information”, but </w:t>
      </w:r>
      <w:proofErr w:type="gramStart"/>
      <w:r w:rsidRPr="00C36261">
        <w:rPr>
          <w:rFonts w:ascii="Arial" w:eastAsia="Times New Roman" w:hAnsi="Arial" w:cs="Arial"/>
          <w:color w:val="000000"/>
          <w:kern w:val="0"/>
          <w:sz w:val="22"/>
          <w:szCs w:val="22"/>
          <w:lang w:eastAsia="en-GB"/>
          <w14:ligatures w14:val="none"/>
        </w:rPr>
        <w:t>recommend  clarification</w:t>
      </w:r>
      <w:proofErr w:type="gramEnd"/>
      <w:r w:rsidRPr="00C36261">
        <w:rPr>
          <w:rFonts w:ascii="Arial" w:eastAsia="Times New Roman" w:hAnsi="Arial" w:cs="Arial"/>
          <w:color w:val="000000"/>
          <w:kern w:val="0"/>
          <w:sz w:val="22"/>
          <w:szCs w:val="22"/>
          <w:lang w:eastAsia="en-GB"/>
          <w14:ligatures w14:val="none"/>
        </w:rPr>
        <w:t xml:space="preserve"> of a situation where multiple parties can be </w:t>
      </w:r>
      <w:r w:rsidRPr="00C36261">
        <w:rPr>
          <w:rFonts w:ascii="Arial" w:eastAsia="Times New Roman" w:hAnsi="Arial" w:cs="Arial"/>
          <w:i/>
          <w:iCs/>
          <w:color w:val="000000"/>
          <w:kern w:val="0"/>
          <w:sz w:val="22"/>
          <w:szCs w:val="22"/>
          <w:lang w:eastAsia="en-GB"/>
          <w14:ligatures w14:val="none"/>
        </w:rPr>
        <w:t>partially</w:t>
      </w:r>
      <w:r w:rsidRPr="00C36261">
        <w:rPr>
          <w:rFonts w:ascii="Arial" w:eastAsia="Times New Roman" w:hAnsi="Arial" w:cs="Arial"/>
          <w:color w:val="000000"/>
          <w:kern w:val="0"/>
          <w:sz w:val="22"/>
          <w:szCs w:val="22"/>
          <w:lang w:eastAsia="en-GB"/>
          <w14:ligatures w14:val="none"/>
        </w:rPr>
        <w:t xml:space="preserve"> directly concerned. </w:t>
      </w:r>
    </w:p>
    <w:p w14:paraId="13673A94" w14:textId="5E1601E4" w:rsidR="00C36261" w:rsidRPr="00C36261" w:rsidRDefault="00C36261" w:rsidP="00C36261">
      <w:pPr>
        <w:numPr>
          <w:ilvl w:val="1"/>
          <w:numId w:val="1"/>
        </w:numPr>
        <w:textAlignment w:val="baseline"/>
        <w:rPr>
          <w:rFonts w:ascii="Arial" w:eastAsia="Times New Roman" w:hAnsi="Arial" w:cs="Arial"/>
          <w:color w:val="000000"/>
          <w:kern w:val="0"/>
          <w:sz w:val="22"/>
          <w:szCs w:val="22"/>
          <w:lang w:eastAsia="en-GB"/>
          <w14:ligatures w14:val="none"/>
        </w:rPr>
      </w:pPr>
      <w:r w:rsidRPr="00C36261">
        <w:rPr>
          <w:rFonts w:ascii="Arial" w:eastAsia="Times New Roman" w:hAnsi="Arial" w:cs="Arial"/>
          <w:color w:val="000000"/>
          <w:kern w:val="0"/>
          <w:sz w:val="22"/>
          <w:szCs w:val="22"/>
          <w:lang w:eastAsia="en-GB"/>
          <w14:ligatures w14:val="none"/>
        </w:rPr>
        <w:t xml:space="preserve">Service provider’s website and own applications are the appropriate sources of information for clients. For dissemination, social media or </w:t>
      </w:r>
      <w:r w:rsidRPr="00C36261">
        <w:rPr>
          <w:rFonts w:ascii="Arial" w:eastAsia="Times New Roman" w:hAnsi="Arial" w:cs="Arial"/>
          <w:color w:val="000000"/>
          <w:kern w:val="0"/>
          <w:sz w:val="22"/>
          <w:szCs w:val="22"/>
          <w:lang w:eastAsia="en-GB"/>
          <w14:ligatures w14:val="none"/>
        </w:rPr>
        <w:t>third-party</w:t>
      </w:r>
      <w:r w:rsidRPr="00C36261">
        <w:rPr>
          <w:rFonts w:ascii="Arial" w:eastAsia="Times New Roman" w:hAnsi="Arial" w:cs="Arial"/>
          <w:color w:val="000000"/>
          <w:kern w:val="0"/>
          <w:sz w:val="22"/>
          <w:szCs w:val="22"/>
          <w:lang w:eastAsia="en-GB"/>
          <w14:ligatures w14:val="none"/>
        </w:rPr>
        <w:t xml:space="preserve"> data aggregators should be strictly optional. Any alerts on inside information in applications should be opt-in.</w:t>
      </w:r>
    </w:p>
    <w:p w14:paraId="402C5781" w14:textId="77777777" w:rsidR="00814CD9" w:rsidRDefault="00814CD9"/>
    <w:sectPr w:rsidR="00814C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4E5F" w14:textId="77777777" w:rsidR="00B43D9E" w:rsidRDefault="00B43D9E" w:rsidP="003D004E">
      <w:r>
        <w:separator/>
      </w:r>
    </w:p>
  </w:endnote>
  <w:endnote w:type="continuationSeparator" w:id="0">
    <w:p w14:paraId="70F06407" w14:textId="77777777" w:rsidR="00B43D9E" w:rsidRDefault="00B43D9E" w:rsidP="003D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E008" w14:textId="77777777" w:rsidR="00B43D9E" w:rsidRDefault="00B43D9E" w:rsidP="003D004E">
      <w:r>
        <w:separator/>
      </w:r>
    </w:p>
  </w:footnote>
  <w:footnote w:type="continuationSeparator" w:id="0">
    <w:p w14:paraId="0BB54340" w14:textId="77777777" w:rsidR="00B43D9E" w:rsidRDefault="00B43D9E" w:rsidP="003D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CD0" w14:textId="3C293DE4" w:rsidR="003D004E" w:rsidRDefault="003D004E">
    <w:pPr>
      <w:pStyle w:val="Header"/>
    </w:pPr>
    <w:r>
      <w:rPr>
        <w:color w:val="000000"/>
        <w:bdr w:val="none" w:sz="0" w:space="0" w:color="auto" w:frame="1"/>
      </w:rPr>
      <w:fldChar w:fldCharType="begin"/>
    </w:r>
    <w:r>
      <w:rPr>
        <w:color w:val="000000"/>
        <w:bdr w:val="none" w:sz="0" w:space="0" w:color="auto" w:frame="1"/>
      </w:rPr>
      <w:instrText xml:space="preserve"> INCLUDEPICTURE "https://lh7-us.googleusercontent.com/1NfHFjKYe8xOaonHKhb7rXCBAF_D_nk-WSQSk6rYg8SPPhJ4oXm6DC0nOf7BMJK8cbGTReivghxzADjoq-HMTVvIJsW159MMdHSiRnyQ727dNtmA4RqT7q84yyWW-2YAzBhDynO7LDhq"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4D4DA45" wp14:editId="428D274B">
          <wp:extent cx="2247900" cy="749300"/>
          <wp:effectExtent l="0" t="0" r="0" b="0"/>
          <wp:docPr id="2038397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97489"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49300"/>
                  </a:xfrm>
                  <a:prstGeom prst="rect">
                    <a:avLst/>
                  </a:prstGeom>
                  <a:noFill/>
                  <a:ln>
                    <a:noFill/>
                  </a:ln>
                </pic:spPr>
              </pic:pic>
            </a:graphicData>
          </a:graphic>
        </wp:inline>
      </w:drawing>
    </w:r>
    <w:r>
      <w:rPr>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5752"/>
    <w:multiLevelType w:val="multilevel"/>
    <w:tmpl w:val="5DA4B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7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D9"/>
    <w:rsid w:val="003D004E"/>
    <w:rsid w:val="00786689"/>
    <w:rsid w:val="00814CD9"/>
    <w:rsid w:val="00B43D9E"/>
    <w:rsid w:val="00C36261"/>
    <w:rsid w:val="00F8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68D884"/>
  <w15:chartTrackingRefBased/>
  <w15:docId w15:val="{5284CDA5-12BE-834E-83E9-4509FFB6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26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61"/>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362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36261"/>
    <w:rPr>
      <w:color w:val="0000FF"/>
      <w:u w:val="single"/>
    </w:rPr>
  </w:style>
  <w:style w:type="paragraph" w:styleId="Header">
    <w:name w:val="header"/>
    <w:basedOn w:val="Normal"/>
    <w:link w:val="HeaderChar"/>
    <w:uiPriority w:val="99"/>
    <w:unhideWhenUsed/>
    <w:rsid w:val="003D004E"/>
    <w:pPr>
      <w:tabs>
        <w:tab w:val="center" w:pos="4513"/>
        <w:tab w:val="right" w:pos="9026"/>
      </w:tabs>
    </w:pPr>
  </w:style>
  <w:style w:type="character" w:customStyle="1" w:styleId="HeaderChar">
    <w:name w:val="Header Char"/>
    <w:basedOn w:val="DefaultParagraphFont"/>
    <w:link w:val="Header"/>
    <w:uiPriority w:val="99"/>
    <w:rsid w:val="003D004E"/>
  </w:style>
  <w:style w:type="paragraph" w:styleId="Footer">
    <w:name w:val="footer"/>
    <w:basedOn w:val="Normal"/>
    <w:link w:val="FooterChar"/>
    <w:uiPriority w:val="99"/>
    <w:unhideWhenUsed/>
    <w:rsid w:val="003D004E"/>
    <w:pPr>
      <w:tabs>
        <w:tab w:val="center" w:pos="4513"/>
        <w:tab w:val="right" w:pos="9026"/>
      </w:tabs>
    </w:pPr>
  </w:style>
  <w:style w:type="character" w:customStyle="1" w:styleId="FooterChar">
    <w:name w:val="Footer Char"/>
    <w:basedOn w:val="DefaultParagraphFont"/>
    <w:link w:val="Footer"/>
    <w:uiPriority w:val="99"/>
    <w:rsid w:val="003D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0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a.sivak@kra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Raj</dc:creator>
  <cp:keywords/>
  <dc:description/>
  <cp:lastModifiedBy>Romana Raj</cp:lastModifiedBy>
  <cp:revision>3</cp:revision>
  <dcterms:created xsi:type="dcterms:W3CDTF">2023-12-14T16:20:00Z</dcterms:created>
  <dcterms:modified xsi:type="dcterms:W3CDTF">2023-12-14T16:23:00Z</dcterms:modified>
</cp:coreProperties>
</file>