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Naslov"/>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Naslov"/>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Naslov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Naslov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Odstavekseznam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Odstavekseznama"/>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Odstavekseznam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Odstavekseznam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Odstavekseznam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Odstavekseznam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Naslov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3B83D192" w:rsidR="00C85C8B" w:rsidRPr="00B16706" w:rsidRDefault="009E2D96" w:rsidP="00C85C8B">
                <w:pPr>
                  <w:rPr>
                    <w:rFonts w:ascii="Arial" w:hAnsi="Arial" w:cs="Arial"/>
                    <w:color w:val="808080"/>
                    <w:sz w:val="16"/>
                    <w:szCs w:val="20"/>
                    <w:lang w:eastAsia="de-DE"/>
                  </w:rPr>
                </w:pPr>
                <w:r>
                  <w:rPr>
                    <w:rFonts w:ascii="Arial" w:hAnsi="Arial" w:cs="Arial"/>
                    <w:color w:val="808080"/>
                    <w:sz w:val="16"/>
                    <w:szCs w:val="20"/>
                    <w:lang w:val="en-SI" w:eastAsia="de-DE"/>
                  </w:rPr>
                  <w:t>European Crypto Initiative (EUCI)</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1578804"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E2D96">
                  <w:rPr>
                    <w:rFonts w:ascii="Arial" w:hAnsi="Arial" w:cs="Arial"/>
                    <w:sz w:val="16"/>
                    <w:szCs w:val="20"/>
                    <w:lang w:eastAsia="de-DE"/>
                  </w:rPr>
                  <w:t>Non-financial counterparty</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6E0E17EB" w:rsidR="00C85C8B" w:rsidRPr="00B16706" w:rsidRDefault="00F52085"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737A2E9E" w:rsidR="00C85C8B" w:rsidRPr="00B16706" w:rsidRDefault="009E2D96"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3163ACC" w14:textId="6C3D08D9" w:rsidR="00FA64BE" w:rsidRDefault="00FA64BE" w:rsidP="00FA64BE">
      <w:permStart w:id="212889190" w:edGrp="everyone"/>
      <w:r>
        <w:t>TYPE YOUR TEXT HERE</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77777777" w:rsidR="00FA64BE" w:rsidRDefault="00FA64BE" w:rsidP="00FA64BE">
      <w:permStart w:id="1220439445" w:edGrp="everyone"/>
      <w:r>
        <w:t>TYPE YOUR TEXT HERE</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28D2A8B5" w14:textId="77777777" w:rsidR="00FA64BE" w:rsidRDefault="00FA64BE" w:rsidP="00FA64BE">
      <w:permStart w:id="731276388" w:edGrp="everyone"/>
      <w:r>
        <w:t>TYPE YOUR TEXT HERE</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lastRenderedPageBreak/>
        <w:t>&lt;ESMA_QUESTION_MIC2_6&gt;</w:t>
      </w:r>
    </w:p>
    <w:p w14:paraId="0FBEA900" w14:textId="77777777" w:rsidR="00FA64BE" w:rsidRDefault="00FA64BE" w:rsidP="00FA64BE">
      <w:permStart w:id="74328323" w:edGrp="everyone"/>
      <w:r>
        <w:t>TYPE YOUR TEXT HERE</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lastRenderedPageBreak/>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13C19607" w14:textId="77777777" w:rsidR="009E2D96" w:rsidRDefault="009E2D96" w:rsidP="009E2D96">
      <w:permStart w:id="1363767151" w:edGrp="everyone"/>
      <w:r>
        <w:t>The proposed definition is the following: (b) ‘permissionless distributed ledger technology’ means a technology that enables the operation and use of distributed ledgers in which no entity controls the distributed ledger or its use or provides core services for the use of such distributed ledger, and DLT network nodes can be set up by any persons complying with the technical requirements and the protocols.</w:t>
      </w:r>
    </w:p>
    <w:p w14:paraId="04A559AC" w14:textId="77777777" w:rsidR="009E2D96" w:rsidRDefault="009E2D96" w:rsidP="009E2D96">
      <w:r>
        <w:t>The definition of ‘permissionless distributed ledger technology’ seems comprehensive and captures the essence of what such a technology typically entails.</w:t>
      </w:r>
    </w:p>
    <w:p w14:paraId="3F6518E4" w14:textId="566DC7C4" w:rsidR="00FA64BE" w:rsidRDefault="009E2D96" w:rsidP="00FA64BE">
      <w:r>
        <w:t>However, there might be ambiguity in the use of "Core Services” and particularly what would constitute a "core service". Further clarification might be necessary, as different stakeholders might have varying interpretations of this term.</w:t>
      </w:r>
      <w:permEnd w:id="1363767151"/>
      <w:r w:rsidR="00FA64BE">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655CF7F7" w14:textId="77777777" w:rsidR="009E2D96" w:rsidRDefault="009E2D96" w:rsidP="009E2D96">
      <w:permStart w:id="1236938786" w:edGrp="everyone"/>
      <w:r>
        <w:t>According to DORA, ‘critical or important function’ means a function, the disruption of which would materially impair the financial performance of a financial entity, or the soundness or continuity of its services and activities, or the discontinued, defective or failed performance of that function would materially impair the continuing compliance of a financial entity with the conditions and obligations of its authorisation, or with its other obligations under applicable financial services law.</w:t>
      </w:r>
    </w:p>
    <w:p w14:paraId="2373800B" w14:textId="3AA1A861" w:rsidR="00FA64BE" w:rsidRDefault="009E2D96" w:rsidP="00FA64BE">
      <w:r>
        <w:t>We support using the DORA definition for ‘critical or important function’, as it is best to aim for a unified meaning of the used terminology across the different regulations and requirements.</w:t>
      </w:r>
      <w:permEnd w:id="1236938786"/>
      <w:r w:rsidR="00FA64BE">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6FB648B7" w14:textId="77777777" w:rsidR="009E2D96" w:rsidRDefault="009E2D96" w:rsidP="009E2D96">
      <w:permStart w:id="1772099050" w:edGrp="everyone"/>
      <w:r>
        <w:lastRenderedPageBreak/>
        <w:t>Subparagraph (e) reads the following: procedures for timely external communications with clients in the event of a disruption involving a permissionless distributed ledger used by the crypto-asset service provider in the provision of its services. The crypto-asset service provider shall ensure that the communication to clients includes information on when the services are expected to be resumed, on the reasons and the impact of the incident, and on risks concerning clients’ funds and crypto-assets held on their behalf.</w:t>
      </w:r>
    </w:p>
    <w:p w14:paraId="5247A7B2" w14:textId="77777777" w:rsidR="009E2D96" w:rsidRDefault="009E2D96" w:rsidP="009E2D96"/>
    <w:p w14:paraId="665E6678" w14:textId="3F107D01" w:rsidR="00FA64BE" w:rsidRDefault="009E2D96" w:rsidP="00FA64BE">
      <w:r>
        <w:t xml:space="preserve">Subparagraph (e) of Article 4(2) seems to be designed to ensure transparency and communication with clients in the event of disruptions, which is critical for maintaining trust and managing risk in financial services, particularly in the context of crypto-assets and permissionless distributed ledger technologies (DLTs) and is, therefore, appropriate for the mandate at hand. </w:t>
      </w:r>
      <w:permEnd w:id="1772099050"/>
      <w:r w:rsidR="00FA64BE">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3A446DFE" w14:textId="77777777" w:rsidR="009E2D96" w:rsidRDefault="009E2D96" w:rsidP="009E2D96">
      <w:permStart w:id="1875469134" w:edGrp="everyone"/>
      <w:r>
        <w:t xml:space="preserve">No, the RTS should not specifically mandate CASPs to establish a business continuity management function to oversee the obligations of the RTS. The current scope and mandate of the RTS, which focuses on 'measures' ensuring continuity and regularity, do not inherently require the establishment of a dedicated management function. This is because the RTS emphasises practical measures and operational procedures that CASPs must implement to ensure continuity and regularity in their services. </w:t>
      </w:r>
    </w:p>
    <w:p w14:paraId="793189A4" w14:textId="6E3C76AC" w:rsidR="00FA64BE" w:rsidRDefault="009E2D96" w:rsidP="00FA64BE">
      <w:r>
        <w:t>Mandating a specific organisational structure, such as a business continuity management function, could impose unnecessary administrative burdens, especially on smaller CASPs, and may not align with the proportionality principle underlying the RTS. Therefore, while CASPs should certainly have robust business continuity measures, prescribing the exact nature of their internal management structures goes beyond the intended regulatory scope of ensuring operational resilience.</w:t>
      </w:r>
      <w:permEnd w:id="1875469134"/>
      <w:r w:rsidR="00FA64BE">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0AE0C738" w14:textId="77777777" w:rsidR="009E2D96" w:rsidRDefault="009E2D96" w:rsidP="009E2D96">
      <w:permStart w:id="226246536" w:edGrp="everyone"/>
      <w:r>
        <w:t>No, there may not be a need for additional organisational measures for specific CASP services beyond those already specified in the RTS. The rationale lies in the adequacy of the current RTS proposal, which already offers a comprehensive framework for organisational requirements for CASPs. Adding more measures could lead to redundancy and over-regulation, potentially burdening smaller CASPs with increased operational complexity and costs without tangible benefits. Therefore, focusing on the current proposals would also adhere to the principle of proportionality, aiming to balance regulatory objectives with the burden on entities, suggesting that the current measures strike a suitable balance.</w:t>
      </w:r>
    </w:p>
    <w:p w14:paraId="6C476657" w14:textId="77777777" w:rsidR="009E2D96" w:rsidRDefault="009E2D96" w:rsidP="009E2D96">
      <w:r>
        <w:t xml:space="preserve">Furthermore, specific organisational measures often lack the needed flexibility to keep up with the fast-paced changes in the crypto-asset market and technological advancements. </w:t>
      </w:r>
      <w:r>
        <w:lastRenderedPageBreak/>
        <w:t xml:space="preserve">Moreover, driven by competition and innovation, the market itself might evolve effective organisational practices, lessening the need for regulatory imposition or at least creating a blueprint for future rules around organisational measures. It is further the case that the varied nature of CASP services implies that a universal approach to organisational measures could be ineffective. </w:t>
      </w:r>
    </w:p>
    <w:p w14:paraId="419FC139" w14:textId="0A2DFDE3" w:rsidR="00FA64BE" w:rsidRDefault="009E2D96" w:rsidP="00FA64BE">
      <w:r>
        <w:t>Additionally, existing legal and regulatory frameworks outside the RTS likely cover the necessary organisational measures, rendering further specifications superfluous. In summary, while the continuous evaluation and enhancement of regulatory standards are essential, it may not be advantageous or necessary to introduce extra organisational measures for specific CASP services at this point.</w:t>
      </w:r>
      <w:permEnd w:id="226246536"/>
      <w:r w:rsidR="00FA64BE">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2A43EBF6" w14:textId="77777777" w:rsidR="009E2D96" w:rsidRDefault="009E2D96" w:rsidP="009E2D96">
      <w:permStart w:id="943128947" w:edGrp="everyone"/>
      <w:r>
        <w:t>Article 4(4) reads the following: Crypto-asset service providers shall, where considered necessary, having regard to the results of the annual review conducted in accordance with Article 2 (2), ensure that a review of their business continuity plans is carried out by either an independent assessor or a department within the crypto-asset service provider other than the one responsible for the function under review.</w:t>
      </w:r>
    </w:p>
    <w:p w14:paraId="0AC01563" w14:textId="77777777" w:rsidR="009E2D96" w:rsidRDefault="009E2D96" w:rsidP="009E2D96"/>
    <w:p w14:paraId="79FE107E" w14:textId="0601225A" w:rsidR="00FA64BE" w:rsidRDefault="009E2D96" w:rsidP="00FA64BE">
      <w:r>
        <w:t xml:space="preserve">Yes, we consider it appropriate for CASPs to conduct testing of their business continuity plans through an internal audit function, in line with the mandate outlined in Article 4(4). </w:t>
      </w:r>
      <w:permEnd w:id="943128947"/>
      <w:r w:rsidR="00FA64BE">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67DBC2FE" w14:textId="77777777" w:rsidR="009E2D96" w:rsidRDefault="009E2D96" w:rsidP="009E2D96">
      <w:permStart w:id="1670274690" w:edGrp="everyone"/>
      <w:r>
        <w:t>Article 68(8) of MiCA mandates CASPs to consider the scale, nature, and range of their crypto-asset services in their internal risk assessments. This requirement is effectively supported and echoed in Article 6 of the draft RTS, which underscores the importance of tailoring business continuity policies to the specific operational characteristics of CASPs. The principle of proportionality, central to both articles, ensures that regulatory expectations are not one-size-fits-all but are adaptable to the diverse operational realities of CASPs.</w:t>
      </w:r>
    </w:p>
    <w:p w14:paraId="50DE51A4" w14:textId="74D4744B" w:rsidR="00FA64BE" w:rsidRDefault="009E2D96" w:rsidP="00FA64BE">
      <w:r>
        <w:t xml:space="preserve">Further reinforcing this approach is the self-assessment mandate under Article 6(2), detailed in the Annex of the draft RTS. This requirement for CASPs to annually evaluate their services' scale, nature, and range serves as a critical mechanism for continuous risk management. It allows CASPs to conduct a comprehensive and introspective review of their operations, identifying unique risks and tailoring their risk mitigation strategies accordingly. This self-assessment process ensures that CASPs maintain a high level of operational </w:t>
      </w:r>
      <w:r>
        <w:lastRenderedPageBreak/>
        <w:t>resilience and compliance, effectively aligning their business practices with the evolving landscape of crypto-asset regulations.</w:t>
      </w:r>
      <w:permEnd w:id="1670274690"/>
      <w:r w:rsidR="00FA64BE">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3082CCA0" w14:textId="77777777" w:rsidR="009E2D96" w:rsidRDefault="009E2D96" w:rsidP="009E2D96">
      <w:permStart w:id="2072316093" w:edGrp="everyone"/>
      <w:r>
        <w:t>The descriptions provided for Centralized Exchanges (CEXs) and Decentralized Exchanges (DEXs) are fairly accurate and comprehensive. However, it's important to highlight the innovative aspects and the distinct advantages that these platforms bring, especially DEXs in the context of DeFi.</w:t>
      </w:r>
    </w:p>
    <w:p w14:paraId="24F0E64D" w14:textId="77777777" w:rsidR="009E2D96" w:rsidRDefault="009E2D96" w:rsidP="009E2D96"/>
    <w:p w14:paraId="48BFD916" w14:textId="77777777" w:rsidR="009E2D96" w:rsidRDefault="009E2D96" w:rsidP="009E2D96">
      <w:r>
        <w:t>The comparison of CEXs to traditional exchanges is apt. They indeed offer a familiar, regulated environment that is more accessible to the general public. However, the description could further emphasise the enhanced security measures, user-friendly interfaces, and customer support services that CEXs provide, making them an essential gateway for many into the crypto world.</w:t>
      </w:r>
    </w:p>
    <w:p w14:paraId="02F7F4EA" w14:textId="77777777" w:rsidR="009E2D96" w:rsidRDefault="009E2D96" w:rsidP="009E2D96"/>
    <w:p w14:paraId="4A6F0A2F" w14:textId="7D7B7944" w:rsidR="00FA64BE" w:rsidRDefault="009E2D96" w:rsidP="00FA64BE">
      <w:r>
        <w:t>The description of DEXs rightly points out their unique attributes, like the absence of a central authority and the use of smart contracts. But it's crucial to stress the groundbreaking aspects of DEXs in promoting financial inclusivity and autonomy. DEXs are not just an alternative to traditional finance; they are a step towards a more democratised and accessible financial system, where users have full control over their assets without relying on intermediaries.</w:t>
      </w:r>
      <w:permEnd w:id="2072316093"/>
      <w:r w:rsidR="00FA64BE">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035496BD" w14:textId="3453EEE6" w:rsidR="00FA64BE" w:rsidRDefault="009E2D96" w:rsidP="00FA64BE">
      <w:permStart w:id="1040608394" w:edGrp="everyone"/>
      <w:r w:rsidRPr="009E2D96">
        <w:t xml:space="preserve">One of our esteemed members representing a trading platform has submitted a response marking that they offer a Continuous auction order book trading system. The available orders there include market buy/sell, and limit buy/sell (stop, trailing stop) orders. They consider their trading system to be a CEX. </w:t>
      </w:r>
      <w:permEnd w:id="1040608394"/>
      <w:r w:rsidR="00FA64BE">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68759634" w14:textId="58EA25C1" w:rsidR="00FA64BE" w:rsidRDefault="009E2D96" w:rsidP="00FA64BE">
      <w:permStart w:id="771500602" w:edGrp="everyone"/>
      <w:r w:rsidRPr="009E2D96">
        <w:t xml:space="preserve">After examining the responses we received from the industry stakeholders, most consider the trading system and transparency obligations as being sufficiently described and appropriate. </w:t>
      </w:r>
      <w:r w:rsidRPr="009E2D96">
        <w:lastRenderedPageBreak/>
        <w:t xml:space="preserve">They offer a trading system that has the ability to meet all 30 transparency requirements. </w:t>
      </w:r>
      <w:permEnd w:id="771500602"/>
      <w:r w:rsidR="00FA64BE">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5C48312" w14:textId="77777777" w:rsidR="009E2D96" w:rsidRDefault="009E2D96" w:rsidP="009E2D96">
      <w:permStart w:id="785540877" w:edGrp="everyone"/>
      <w:r>
        <w:t>The definition provided in the draft RTS for AMMs, focusing on decentralised protocols using liquidity pools and smart contracts for transaction execution, is accurate and aligns with the fundamental operation of AMMs in DeFi. The requirement to make public the mathematical equation used for pricing and quantity in liquidity pools is essential for transparency. This information is fundamental for users to understand how prices are determined and to assess the potential impact of their transactions.</w:t>
      </w:r>
    </w:p>
    <w:p w14:paraId="3EE547B8" w14:textId="77777777" w:rsidR="009E2D96" w:rsidRDefault="009E2D96" w:rsidP="009E2D96"/>
    <w:p w14:paraId="7CFD332F" w14:textId="77777777" w:rsidR="009E2D96" w:rsidRDefault="009E2D96" w:rsidP="009E2D96">
      <w:r>
        <w:t>Some of the most popular decentralised cryptocurrency exchange platforms based on Ethereum blockchain technology are known for facilitating automated transactions between cryptocurrency tokens on the Ethereum blockchain using smart contracts. They provide various information and parameters beyond the mathematical equation to allow market participants to define the price of assets offered in the liquidity pool. Below we list key pieces of information and parameters typically published by these platforms:</w:t>
      </w:r>
    </w:p>
    <w:p w14:paraId="18A18E02" w14:textId="77777777" w:rsidR="009E2D96" w:rsidRDefault="009E2D96" w:rsidP="009E2D96">
      <w:r>
        <w:t>Reserve Balances: Some AMM providers publicly display the current reserve balances of the assets in each liquidity pool. These balances show how much of each asset is available in the pool.</w:t>
      </w:r>
    </w:p>
    <w:p w14:paraId="08D1A6FD" w14:textId="77777777" w:rsidR="009E2D96" w:rsidRDefault="009E2D96" w:rsidP="009E2D96">
      <w:r>
        <w:t>Pool Token Supply: Users can see the total supply of pool tokens, which represent ownership in the liquidity pool. The number of pool tokens in circulation reflects the proportional ownership of the liquidity pool's assets.</w:t>
      </w:r>
    </w:p>
    <w:p w14:paraId="6DFFFD97" w14:textId="77777777" w:rsidR="009E2D96" w:rsidRDefault="009E2D96" w:rsidP="009E2D96">
      <w:r>
        <w:t>Swap Fee: Information about the fee structure, including the swap fee rate, is provided. This fee is charged on each trade within the pool and influences the effective price for traders.</w:t>
      </w:r>
    </w:p>
    <w:p w14:paraId="10B08737" w14:textId="77777777" w:rsidR="009E2D96" w:rsidRDefault="009E2D96" w:rsidP="009E2D96">
      <w:r>
        <w:t>Historical Trade Data: Users can access historical trade data, such as recent trades and transaction history, to analyse past prices and liquidity pool activity.</w:t>
      </w:r>
    </w:p>
    <w:p w14:paraId="5F3FF81C" w14:textId="77777777" w:rsidR="009E2D96" w:rsidRDefault="009E2D96" w:rsidP="009E2D96">
      <w:r>
        <w:t>Price Charts: Some platforms provide price charts and graphs that display historical and real-time price trends for assets in the liquidity pools.</w:t>
      </w:r>
    </w:p>
    <w:p w14:paraId="341E2DAD" w14:textId="77777777" w:rsidR="009E2D96" w:rsidRDefault="009E2D96" w:rsidP="009E2D96">
      <w:r>
        <w:t>Slippage: AMMs typically display the expected slippage for a trade of a certain size. Slippage refers to the difference between the expected price and the actual price at which a trade is executed due to changes in the pool's reserves.</w:t>
      </w:r>
    </w:p>
    <w:p w14:paraId="04CB2815" w14:textId="77777777" w:rsidR="009E2D96" w:rsidRDefault="009E2D96" w:rsidP="009E2D96">
      <w:r>
        <w:t>Documentation: Detailed documentation and guides are often provided by the platforms to help users understand how to interact with the AMM, including how to provide liquidity, create trading pairs, and trade assets.</w:t>
      </w:r>
    </w:p>
    <w:p w14:paraId="00CD6621" w14:textId="77777777" w:rsidR="009E2D96" w:rsidRDefault="009E2D96" w:rsidP="009E2D96"/>
    <w:p w14:paraId="16EE056D" w14:textId="62D3B1D0" w:rsidR="00FA64BE" w:rsidRDefault="009E2D96" w:rsidP="00FA64BE">
      <w:r>
        <w:t xml:space="preserve">These pieces of information and parameters collectively allow market participants to make informed decisions about pricing, trading, and liquidity provision within the AMM ecosystem. While they help users understand the current state of the liquidity pool and its </w:t>
      </w:r>
      <w:r>
        <w:lastRenderedPageBreak/>
        <w:t xml:space="preserve">associated risks and rewards, we do not believe they should be disclosed within pre/post-trade requirements but rather as a separate disclosure category. </w:t>
      </w:r>
      <w:permEnd w:id="785540877"/>
      <w:r w:rsidR="00FA64BE">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2621B492" w14:textId="0049A778" w:rsidR="00FA64BE" w:rsidRDefault="009E2D96" w:rsidP="00FA64BE">
      <w:permStart w:id="1719166885" w:edGrp="everyone"/>
      <w:r w:rsidRPr="009E2D96">
        <w:t>While some CASPs may not have obtained an ISO 10383 MIC verification yet, they do observe such common identifiers for assets and markets as useful when certain CASPs are to be compared. We respectfully ask the regulator to observe the current status of CASPs and the time such verification processes demand when assessing compliance with MiCA requirements.</w:t>
      </w:r>
      <w:permEnd w:id="1719166885"/>
      <w:r w:rsidR="00FA64BE">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3AF7425F" w14:textId="77777777" w:rsidR="009E2D96" w:rsidRDefault="009E2D96" w:rsidP="00FA64BE">
      <w:permStart w:id="1428117711" w:edGrp="everyone"/>
      <w:r w:rsidRPr="009E2D96">
        <w:t>We generally agree with the proposed text.</w:t>
      </w:r>
    </w:p>
    <w:permEnd w:id="1428117711"/>
    <w:p w14:paraId="7E77EA71" w14:textId="3E902564"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046CD411" w14:textId="77777777" w:rsidR="009E2D96" w:rsidRDefault="009E2D96" w:rsidP="00FA64BE">
      <w:permStart w:id="1831950404" w:edGrp="everyone"/>
      <w:r w:rsidRPr="009E2D96">
        <w:t>While MiCA provides stricter requirements regarding reserve and stop orders, we understand that ESMA cannot create an exemption in the RTS. Even though the reserve and stop orders don’t have to be disclosed until they enter the order book, we respectfully encourage the regulator to establish more balance and consider under which circumstances the disclosure is strictly mandatory.</w:t>
      </w:r>
    </w:p>
    <w:permEnd w:id="1831950404"/>
    <w:p w14:paraId="6E421F9F" w14:textId="518F6043"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0B591FB2" w14:textId="77777777" w:rsidR="009E2D96" w:rsidRDefault="009E2D96" w:rsidP="00FA64BE">
      <w:permStart w:id="478694635" w:edGrp="everyone"/>
      <w:r w:rsidRPr="009E2D96">
        <w:t xml:space="preserve">Generally, Tables 1,2 and 3 of Annex II seem appropriate. </w:t>
      </w:r>
    </w:p>
    <w:permEnd w:id="478694635"/>
    <w:p w14:paraId="333299E9" w14:textId="75F9CDCD"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lastRenderedPageBreak/>
        <w:t>&lt;ESMA_QUESTION_MIC2_28&gt;</w:t>
      </w:r>
    </w:p>
    <w:p w14:paraId="51EF96A4" w14:textId="77777777" w:rsidR="009E2D96" w:rsidRDefault="009E2D96" w:rsidP="00FA64BE">
      <w:permStart w:id="564936908" w:edGrp="everyone"/>
      <w:r w:rsidRPr="009E2D96">
        <w:t xml:space="preserve">Generally, the information in Table 2 is deemed sufficient. </w:t>
      </w:r>
    </w:p>
    <w:permEnd w:id="564936908"/>
    <w:p w14:paraId="20F578C8" w14:textId="07D00229"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14526DF7" w14:textId="77777777" w:rsidR="009E2D96" w:rsidRDefault="009E2D96" w:rsidP="00FA64BE">
      <w:permStart w:id="712931667" w:edGrp="everyone"/>
      <w:r w:rsidRPr="009E2D96">
        <w:t xml:space="preserve">We did not identify any additional information. </w:t>
      </w:r>
    </w:p>
    <w:permEnd w:id="712931667"/>
    <w:p w14:paraId="580DEF82" w14:textId="26B1F6B6"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7DDB6DCF" w14:textId="77777777" w:rsidR="009E2D96" w:rsidRDefault="009E2D96" w:rsidP="00FA64BE">
      <w:permStart w:id="490822152" w:edGrp="everyone"/>
      <w:r w:rsidRPr="009E2D96">
        <w:t xml:space="preserve">We did not identify any additional information. </w:t>
      </w:r>
    </w:p>
    <w:permEnd w:id="490822152"/>
    <w:p w14:paraId="16DDC7B2" w14:textId="71A263CC"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47B84DE3" w14:textId="77777777" w:rsidR="009E2D96" w:rsidRDefault="009E2D96" w:rsidP="009E2D96">
      <w:permStart w:id="814574276" w:edGrp="everyone"/>
      <w:r>
        <w:t xml:space="preserve">We generally agree with the proposed 30 seconds, however, we note that there is no valid reason to discriminate between the delay standards reserved for financial instruments under MiFIR and crypto-assets. Additionally, there may be other elements that contribute to a longer delay (up to a few minutes). We kindly request the regulator acknowledge technical capacities to comply with the proposed 30 seconds and envision a process where CASPs can potentially further explain why certain delays were longer than expected. </w:t>
      </w:r>
    </w:p>
    <w:p w14:paraId="48F1DDB4" w14:textId="77777777" w:rsidR="009E2D96" w:rsidRDefault="009E2D96" w:rsidP="00FA64BE">
      <w:r>
        <w:t>Furthermore, we would like to emphasize that the timing of a transaction's inclusion in a block should not be considered relevant, nor should CASPs be obligated to report on such timestamps. The only timing that should be pertinent for CASP reports is the moment when the CASP initiates or creates a specific transaction.</w:t>
      </w:r>
    </w:p>
    <w:permEnd w:id="814574276"/>
    <w:p w14:paraId="726211B2" w14:textId="41B7F2FE"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33F1C1F0" w14:textId="77777777" w:rsidR="009E2D96" w:rsidRDefault="009E2D96" w:rsidP="00FA64BE">
      <w:permStart w:id="603934812" w:edGrp="everyone"/>
      <w:r w:rsidRPr="009E2D96">
        <w:t>We generally agree with the proposed text.</w:t>
      </w:r>
    </w:p>
    <w:permEnd w:id="603934812"/>
    <w:p w14:paraId="64EDEE8F" w14:textId="4AAB97F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lastRenderedPageBreak/>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30D1CAA5" w14:textId="77777777" w:rsidR="009E2D96" w:rsidRDefault="009E2D96" w:rsidP="00FA64BE">
      <w:permStart w:id="585508016" w:edGrp="everyone"/>
      <w:r w:rsidRPr="009E2D96">
        <w:t xml:space="preserve">We consider current disclosure rules sufficient. </w:t>
      </w:r>
    </w:p>
    <w:permEnd w:id="585508016"/>
    <w:p w14:paraId="41345FB5" w14:textId="393B3E4C"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718F7D26" w14:textId="77777777" w:rsidR="009E2D96" w:rsidRDefault="009E2D96" w:rsidP="00FA64BE">
      <w:permStart w:id="1795817737" w:edGrp="everyone"/>
      <w:r w:rsidRPr="009E2D96">
        <w:t xml:space="preserve">We observe that much of such information is still provided for free. Industry stakeholders would advocate for open access to all historical data streams and believe that providers can supply such data without significant issues. </w:t>
      </w:r>
    </w:p>
    <w:permEnd w:id="1795817737"/>
    <w:p w14:paraId="27A8FA84" w14:textId="39E06BAC"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159E093E" w14:textId="77777777" w:rsidR="000D6F0D" w:rsidRDefault="000D6F0D" w:rsidP="000D6F0D">
      <w:permStart w:id="805576716" w:edGrp="everyone"/>
      <w:r>
        <w:t xml:space="preserve">While we agree with the proposal for disaggregation of data, we request the regulator to reconsider the approach put forward in points 141-144. Indeed, most crypto-assets trading platforms make their data available to users free of charge, including all historical data available. On this note, we deem it necessary to distinguish between users who utilise the trading platforms for trading activities and those who use the data available for further aggregation, assessment and provision of data available on such trading platforms. While certain trading platforms may use paywalls to access various trading data, it should be noted that some platforms only charge to the latter type of users (e.g. data aggregation companies, which utilise such data provided by trading platforms for business purposes). </w:t>
      </w:r>
    </w:p>
    <w:p w14:paraId="6AD55C66" w14:textId="77777777" w:rsidR="000D6F0D" w:rsidRDefault="000D6F0D" w:rsidP="000D6F0D"/>
    <w:p w14:paraId="16469CD5" w14:textId="77777777" w:rsidR="000D6F0D" w:rsidRDefault="000D6F0D" w:rsidP="000D6F0D">
      <w:r>
        <w:t xml:space="preserve">We kindly request that regulatory authorities consider providing additional clarification regarding the provision of historical data by trading platforms to EU users, with a particular emphasis on ensuring accessibility and cost implications. Specifically, we propose clarification regarding (i) free access to historical data and (ii) the scope of limitation. Regarding free access, we observe that trading platforms normally don’t associate the provision of historical data with any additional charges. We believe that the decision to introduce fees or other access restrictions to such data should be at the discretion of market participants. However, it is crucial to emphasise that any such fees or limitations should exclusively apply to business partners and not consumers. </w:t>
      </w:r>
    </w:p>
    <w:p w14:paraId="2DFB60E3" w14:textId="77777777" w:rsidR="000D6F0D" w:rsidRDefault="000D6F0D" w:rsidP="000D6F0D"/>
    <w:p w14:paraId="4EB5E57E" w14:textId="77777777" w:rsidR="000D6F0D" w:rsidRDefault="000D6F0D" w:rsidP="00FA64BE">
      <w:r>
        <w:t>Further, we seek clarification on the limitation mentioned, specifically the reference to "access to historic series on a per-week basis." It would be beneficial to ascertain whether this limitation is intended to be applicable solely to business partners and not regular trading users of a trading platform.</w:t>
      </w:r>
    </w:p>
    <w:permEnd w:id="805576716"/>
    <w:p w14:paraId="084F5354" w14:textId="3BA89DAE" w:rsidR="00FA64BE" w:rsidRDefault="00FA64BE" w:rsidP="00FA64BE">
      <w:r>
        <w:lastRenderedPageBreak/>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62E482C7" w14:textId="77777777" w:rsidR="000D6F0D" w:rsidRDefault="000D6F0D" w:rsidP="000D6F0D">
      <w:permStart w:id="1164135930" w:edGrp="everyone"/>
      <w:r>
        <w:t xml:space="preserve">Most crypto trading platforms like Binance, Coinbase, Kraken, Bitstamp and Bitfinex offer REST APIs for general-purpose requests like accessing market data, managing accounts, and placing orders. Many of these platforms also offer WebSocket APIs for real-time market data streaming and sometimes for executing trades. For instance, Binance and BitMEX offer extensive WebSocket support for real-time updates. </w:t>
      </w:r>
    </w:p>
    <w:p w14:paraId="7379F3D7" w14:textId="77777777" w:rsidR="000D6F0D" w:rsidRDefault="000D6F0D" w:rsidP="000D6F0D">
      <w:r>
        <w:t xml:space="preserve">While REST and WebSocket may be standardised APIs particularly for centrally operated trading platforms, Uniswap and Bitquery. The Uniswap Subgraph indexes data from Uniswap contracts over time and organizes information about pairs, tokens, and the overall Uniswap ecosystem. To interact with the Uniswap Subgraph, developers commonly use the Apollo GraphQL client. This approach allows for efficient data fetching and management in web applications. </w:t>
      </w:r>
    </w:p>
    <w:p w14:paraId="288C805C" w14:textId="77777777" w:rsidR="000D6F0D" w:rsidRDefault="000D6F0D" w:rsidP="000D6F0D">
      <w:r>
        <w:t xml:space="preserve">While we agree that standardisation is welcomed and the minimum set of order characteristics made by CASPs may not differ significantly from the activities covered by MiFID,  we observe that certain CASP activities may deploy open-source technology that differs from the rest and may demand a different standardisation. </w:t>
      </w:r>
    </w:p>
    <w:p w14:paraId="22F13CE0" w14:textId="77777777" w:rsidR="000D6F0D" w:rsidRDefault="000D6F0D" w:rsidP="00FA64BE">
      <w:r>
        <w:t xml:space="preserve">Furthermore, we also ask that any proposal for common APIs be aligned with the future requirements under the proposed FiDA Regulation. This is necessary due to the suggested scoping of CASPs as both data holders and data users under the Open Finance framework. Therefore, any misalignment between the measures under MiCA and those under FiDA should be carefully avoided. </w:t>
      </w:r>
    </w:p>
    <w:permEnd w:id="1164135930"/>
    <w:p w14:paraId="3600E970" w14:textId="74EF7F3D"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E10A853" w14:textId="2458D25B" w:rsidR="00FA64BE" w:rsidRDefault="000D6F0D" w:rsidP="00FA64BE">
      <w:permStart w:id="1190932617" w:edGrp="everyone"/>
      <w:r w:rsidRPr="000D6F0D">
        <w:rPr>
          <w:rFonts w:eastAsia="Roboto"/>
        </w:rPr>
        <w:t>We recognize the need and efforts to establish a common standardisation to prevent various CASPs from developing or adopting their own token identification system. In this regard, we welcome EMSA’s efforts to introduce a Digital Token Identifier (DTI) for identifying and reporting crypto-assets. We deem it necessary to point out some practical challenges market participants have experienced in the past when relying on third-party standards. Our concern stems from the fact that there may be other digital token identification systems, developed by various (European) institutions, including the EU-funded project Blockstand, leading the participation of European experts in blockchain standardisation activities. Other examples  which might offer alternative or more comprehensive solutions include the European</w:t>
      </w:r>
      <w:r w:rsidRPr="000D6F0D">
        <w:rPr>
          <w:rFonts w:eastAsia="Roboto"/>
          <w:color w:val="1F1F1F"/>
          <w:highlight w:val="white"/>
        </w:rPr>
        <w:t xml:space="preserve"> Fund </w:t>
      </w:r>
      <w:r w:rsidRPr="000D6F0D">
        <w:rPr>
          <w:rFonts w:eastAsia="Roboto"/>
          <w:color w:val="1F1F1F"/>
          <w:highlight w:val="white"/>
        </w:rPr>
        <w:lastRenderedPageBreak/>
        <w:t>and Asset Management Association (EFAMA)</w:t>
      </w:r>
      <w:r w:rsidRPr="000D6F0D">
        <w:rPr>
          <w:rFonts w:eastAsia="Roboto"/>
          <w:color w:val="1F1F1F"/>
          <w:highlight w:val="white"/>
          <w:vertAlign w:val="superscript"/>
        </w:rPr>
        <w:footnoteReference w:id="2"/>
      </w:r>
      <w:r w:rsidRPr="000D6F0D">
        <w:rPr>
          <w:rFonts w:eastAsia="Roboto"/>
        </w:rPr>
        <w:t xml:space="preserve">, the </w:t>
      </w:r>
      <w:r w:rsidRPr="000D6F0D">
        <w:rPr>
          <w:rFonts w:eastAsia="Roboto"/>
          <w:color w:val="1F1F1F"/>
          <w:highlight w:val="white"/>
        </w:rPr>
        <w:t>European Long-Term Investment Fund (</w:t>
      </w:r>
      <w:r w:rsidRPr="000D6F0D">
        <w:rPr>
          <w:rFonts w:eastAsia="Roboto"/>
        </w:rPr>
        <w:t>ELTIF)</w:t>
      </w:r>
      <w:r w:rsidRPr="000D6F0D">
        <w:rPr>
          <w:rFonts w:eastAsia="Roboto"/>
          <w:vertAlign w:val="superscript"/>
        </w:rPr>
        <w:footnoteReference w:id="3"/>
      </w:r>
      <w:r w:rsidRPr="000D6F0D">
        <w:rPr>
          <w:rFonts w:eastAsia="Roboto"/>
        </w:rPr>
        <w:t xml:space="preserve"> and the </w:t>
      </w:r>
      <w:r w:rsidRPr="000D6F0D">
        <w:rPr>
          <w:rFonts w:eastAsia="Roboto"/>
          <w:color w:val="1F1F1F"/>
          <w:highlight w:val="white"/>
        </w:rPr>
        <w:t>International Token Identification Number (ITIN) Standardization Authority (ITSA)</w:t>
      </w:r>
      <w:r w:rsidRPr="000D6F0D">
        <w:rPr>
          <w:rFonts w:eastAsia="Roboto"/>
          <w:color w:val="1F1F1F"/>
          <w:highlight w:val="white"/>
          <w:vertAlign w:val="superscript"/>
        </w:rPr>
        <w:footnoteReference w:id="4"/>
      </w:r>
      <w:r w:rsidRPr="000D6F0D">
        <w:rPr>
          <w:rFonts w:eastAsia="Roboto"/>
          <w:color w:val="1F1F1F"/>
          <w:highlight w:val="white"/>
        </w:rPr>
        <w:t>.</w:t>
      </w:r>
      <w:r w:rsidRPr="000D6F0D">
        <w:rPr>
          <w:rFonts w:eastAsia="Roboto"/>
        </w:rPr>
        <w:t xml:space="preserve"> Whichever standard is adopted by ESMA, we wish to encourage the regulator to examine how the risk regarding transparency, governance and possible arbitrary decisions will be managed</w:t>
      </w:r>
      <w:r>
        <w:rPr>
          <w:rFonts w:ascii="Roboto" w:eastAsia="Roboto" w:hAnsi="Roboto" w:cs="Roboto"/>
          <w:sz w:val="20"/>
          <w:szCs w:val="20"/>
        </w:rPr>
        <w:t>.</w:t>
      </w:r>
      <w:permEnd w:id="1190932617"/>
      <w:r w:rsidR="00FA64BE">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27668878" w14:textId="77777777" w:rsidR="000D6F0D" w:rsidRDefault="000D6F0D" w:rsidP="000D6F0D">
      <w:permStart w:id="1238859015" w:edGrp="everyone"/>
      <w:r>
        <w:t xml:space="preserve">Even though not necessarily a technical attribute, we would welcome the identification of the crypto asset issuers and their legal entity already in a register. In addition, the Consultation Paper and the identification mechanism presented by DTIF do not offer complete information on Functional Fungibility. Noting that by design, certain crypto-assets are technically not considered to be fungible (including Bitcoin), it would be beneficial to provide additional guidelines. </w:t>
      </w:r>
    </w:p>
    <w:p w14:paraId="238E187F" w14:textId="77777777" w:rsidR="000D6F0D" w:rsidRDefault="000D6F0D" w:rsidP="000D6F0D"/>
    <w:p w14:paraId="4B8CCF48" w14:textId="1D4E7CC2" w:rsidR="00FA64BE" w:rsidRDefault="000D6F0D" w:rsidP="00FA64BE">
      <w:r>
        <w:t xml:space="preserve">It is further worth noticing that the DTI Registry entries regarding Functional Fungibility may not be complete. Lastly, when certain information is displayed within the registry (or white paper) regarding a particular crypto-asset, we deem it necessary for certain information to be descriptive. As an example - when looking up the information on a crypto-asset called NEO, the current DTIF registry displays the information regarding Auxiliary Digital Token Distributed Ledger. Alongside this, there is a code “X9J9K872S”, which is actually the Token Identifier for Ethereum. However, this connection between X9J9K872S and Ethereum is not explicitly stated in the NEO information section. This can be confusing for readers (and investors) who might not have extensive background knowledge in crypto-assets. To improve clarity and accessibility, it would be beneficial if such intricate details were more explicitly explained in the registry. </w:t>
      </w:r>
      <w:permEnd w:id="1238859015"/>
      <w:r w:rsidR="00FA64BE">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557E7C8B" w14:textId="77777777" w:rsidR="000D6F0D" w:rsidRDefault="000D6F0D" w:rsidP="000D6F0D">
      <w:permStart w:id="713520583" w:edGrp="everyone"/>
      <w:r>
        <w:t xml:space="preserve">For the purposes of identifying on-chain transactions, we believe automatically generated transaction hash is sufficient. We fully support the conclusion of the regulator that any additional means of identification (e.g. TVTIC) would present an unnecessary burden to trading platforms when an on-chain transaction is performed. </w:t>
      </w:r>
    </w:p>
    <w:p w14:paraId="707CB0F7" w14:textId="77777777" w:rsidR="000D6F0D" w:rsidRDefault="000D6F0D" w:rsidP="000D6F0D"/>
    <w:p w14:paraId="7AD1C5E0" w14:textId="77777777" w:rsidR="000D6F0D" w:rsidRDefault="000D6F0D" w:rsidP="00FA64BE">
      <w:r>
        <w:lastRenderedPageBreak/>
        <w:t xml:space="preserve">Regarding a hybrid transaction, we believe a CASP should observe the practice of reporting both on-chain and off-chain information. Since there may be two identifiers provided for two separated (yet linked) transactions, both identifiers may be equally important. There may be other solutions, whereas a hash identification is provided for the combination of the transaction itself. </w:t>
      </w:r>
    </w:p>
    <w:permEnd w:id="713520583"/>
    <w:p w14:paraId="415F293C" w14:textId="191CA424"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3C3F060C" w14:textId="77777777" w:rsidR="000D6F0D" w:rsidRDefault="000D6F0D" w:rsidP="00FA64BE">
      <w:permStart w:id="1621834718" w:edGrp="everyone"/>
      <w:r w:rsidRPr="000D6F0D">
        <w:t>Information on gas fees is not necessary for token identification. Furthermore, the term “Gas fee” is mostly used for the transactions occurring on Ethereum, while other protocols may use different names for their transaction costs, like transaction fees or miner fees. Some cryptoasset transactions do not charge transaction fees at all.</w:t>
      </w:r>
    </w:p>
    <w:permEnd w:id="1621834718"/>
    <w:p w14:paraId="0A5E7D5D" w14:textId="66B80259"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F3EE000" w14:textId="77777777" w:rsidR="000D6F0D" w:rsidRDefault="000D6F0D" w:rsidP="000D6F0D">
      <w:pPr>
        <w:widowControl w:val="0"/>
        <w:pBdr>
          <w:top w:val="none" w:sz="0" w:space="0" w:color="D9D9E3"/>
          <w:left w:val="none" w:sz="0" w:space="0" w:color="D9D9E3"/>
          <w:bottom w:val="none" w:sz="0" w:space="0" w:color="D9D9E3"/>
          <w:right w:val="none" w:sz="0" w:space="0" w:color="D9D9E3"/>
          <w:between w:val="none" w:sz="0" w:space="0" w:color="D9D9E3"/>
        </w:pBdr>
        <w:spacing w:after="300" w:line="276" w:lineRule="auto"/>
        <w:jc w:val="both"/>
        <w:rPr>
          <w:rFonts w:ascii="Roboto" w:eastAsia="Roboto" w:hAnsi="Roboto" w:cs="Roboto"/>
          <w:sz w:val="20"/>
          <w:szCs w:val="20"/>
        </w:rPr>
      </w:pPr>
      <w:permStart w:id="245909215" w:edGrp="everyone"/>
      <w:r>
        <w:rPr>
          <w:rFonts w:ascii="Roboto" w:eastAsia="Roboto" w:hAnsi="Roboto" w:cs="Roboto"/>
          <w:sz w:val="20"/>
          <w:szCs w:val="20"/>
        </w:rPr>
        <w:t>Our general agreement with the proposed information is noted. It is important to acknowledge that while the term 'gas fee' is prevalent in the Ethereum community, fees related to transaction execution on other blockchains may be designated by alternative terms. It may be better to therefore refer to this particular element as “network fee” to remain blockchain agnostic.</w:t>
      </w:r>
    </w:p>
    <w:p w14:paraId="6A243E68" w14:textId="77777777" w:rsidR="000D6F0D" w:rsidRDefault="000D6F0D" w:rsidP="000D6F0D">
      <w:pPr>
        <w:widowControl w:val="0"/>
        <w:pBdr>
          <w:top w:val="none" w:sz="0" w:space="0" w:color="D9D9E3"/>
          <w:left w:val="none" w:sz="0" w:space="0" w:color="D9D9E3"/>
          <w:bottom w:val="none" w:sz="0" w:space="0" w:color="D9D9E3"/>
          <w:right w:val="none" w:sz="0" w:space="0" w:color="D9D9E3"/>
          <w:between w:val="none" w:sz="0" w:space="0" w:color="D9D9E3"/>
        </w:pBdr>
        <w:spacing w:after="300" w:line="276" w:lineRule="auto"/>
        <w:jc w:val="both"/>
        <w:rPr>
          <w:rFonts w:ascii="Roboto" w:eastAsia="Roboto" w:hAnsi="Roboto" w:cs="Roboto"/>
          <w:color w:val="374151"/>
          <w:sz w:val="20"/>
          <w:szCs w:val="20"/>
        </w:rPr>
      </w:pPr>
      <w:r>
        <w:rPr>
          <w:rFonts w:ascii="Roboto" w:eastAsia="Roboto" w:hAnsi="Roboto" w:cs="Roboto"/>
          <w:sz w:val="20"/>
          <w:szCs w:val="20"/>
        </w:rPr>
        <w:t xml:space="preserve">Additionally, the regulator is encouraged to take into consideration technological developments which allow users to rely on the Zero-Knowledge solutions, through which they may validate their identity, yet prevent the disclosure of their unique identifiers as buyers or sellers and thus protect their privacy. </w:t>
      </w:r>
    </w:p>
    <w:p w14:paraId="0B7B16E4" w14:textId="77777777" w:rsidR="000D6F0D" w:rsidRDefault="000D6F0D" w:rsidP="000D6F0D">
      <w:pPr>
        <w:widowControl w:val="0"/>
        <w:pBdr>
          <w:top w:val="none" w:sz="0" w:space="0" w:color="D9D9E3"/>
          <w:left w:val="none" w:sz="0" w:space="0" w:color="D9D9E3"/>
          <w:bottom w:val="none" w:sz="0" w:space="0" w:color="D9D9E3"/>
          <w:right w:val="none" w:sz="0" w:space="0" w:color="D9D9E3"/>
          <w:between w:val="none" w:sz="0" w:space="0" w:color="D9D9E3"/>
        </w:pBdr>
        <w:spacing w:after="300" w:line="276" w:lineRule="auto"/>
        <w:jc w:val="both"/>
        <w:rPr>
          <w:rFonts w:ascii="Roboto" w:eastAsia="Roboto" w:hAnsi="Roboto" w:cs="Roboto"/>
          <w:sz w:val="20"/>
          <w:szCs w:val="20"/>
        </w:rPr>
      </w:pPr>
      <w:r>
        <w:rPr>
          <w:rFonts w:ascii="Roboto" w:eastAsia="Roboto" w:hAnsi="Roboto" w:cs="Roboto"/>
          <w:sz w:val="20"/>
          <w:szCs w:val="20"/>
        </w:rPr>
        <w:t xml:space="preserve">We believe it’s further crucial that the regulators acknowledge there are particular scenarios in blockchain transactions where the 'to and from' fields might not be provided as envisioned in the Table under point 185 of the ESMA Consultation paper. We believe the lack of such provisions should not affect the legality of either transaction or the validity of the reporting obligation. Situations where privacy may be enhanced and the information may not be disclosed directly to a CASP (yet the information may be disclosed to the regulators upon request) may be particularly achieved through the use of Zero-Knowledge Proofs (ZKPs). Additionally, a similar effect may be achieved when users rely on off-chain transactions or Layer 2 solutions. Transactions using ZKPs can verify the validity of a transaction without revealing the wallet addresses or the identities of the parties involved thus preventing the disclosure of too much information among the parties (once the address is revealed, the opposite party or middleman may otherwise see the whole transaction history and access the information about future transactions as well). In cases where off-chain transactions are used, the details are settled outside the blockchain, while on-chain records contain the net positions alone. Further, technologies like Layer 2 solutions, e.g. Lightning Network for Bitcoin, process transactions off the main blockchain. The individual transaction details between parties might again not be visible on the main blockchain, only </w:t>
      </w:r>
      <w:r>
        <w:rPr>
          <w:rFonts w:ascii="Roboto" w:eastAsia="Roboto" w:hAnsi="Roboto" w:cs="Roboto"/>
          <w:sz w:val="20"/>
          <w:szCs w:val="20"/>
        </w:rPr>
        <w:lastRenderedPageBreak/>
        <w:t xml:space="preserve">the final settlement is recorded. Finally, some complex smart contract interactions may move funds through multiple contract addresses before reaching the final recipient. In such cases, the 'to' and 'from' fields may only show the contract addresses, not the actual initiators or recipients of the transaction. All these cases present limited use cases, all of which are under development and may evolve into protocols that are adopted for a very limited and specific set of use cases allowing end users (and possibly CASPs) to disclose certain information when certain conditions are met. </w:t>
      </w:r>
    </w:p>
    <w:p w14:paraId="0C29ED04" w14:textId="77777777" w:rsidR="000D6F0D" w:rsidRDefault="000D6F0D" w:rsidP="000D6F0D">
      <w:pPr>
        <w:widowControl w:val="0"/>
        <w:pBdr>
          <w:top w:val="none" w:sz="0" w:space="0" w:color="D9D9E3"/>
          <w:left w:val="none" w:sz="0" w:space="0" w:color="D9D9E3"/>
          <w:bottom w:val="none" w:sz="0" w:space="0" w:color="D9D9E3"/>
          <w:right w:val="none" w:sz="0" w:space="0" w:color="D9D9E3"/>
          <w:between w:val="none" w:sz="0" w:space="0" w:color="D9D9E3"/>
        </w:pBdr>
        <w:spacing w:after="300" w:line="276" w:lineRule="auto"/>
        <w:jc w:val="both"/>
      </w:pPr>
      <w:r>
        <w:rPr>
          <w:rFonts w:ascii="Roboto" w:eastAsia="Roboto" w:hAnsi="Roboto" w:cs="Roboto"/>
          <w:sz w:val="20"/>
          <w:szCs w:val="20"/>
        </w:rPr>
        <w:t xml:space="preserve">In addition to the ‘to and from’ fields described above, we believe some information may be provided as an estimation rather than correct data recorded by CASPs. Such is the case of ‘Current Total Supply’. </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1A8A4BE5" w14:textId="77777777" w:rsidR="000D6F0D" w:rsidRDefault="000D6F0D" w:rsidP="000D6F0D">
      <w:permStart w:id="434728857" w:edGrp="everyone"/>
      <w:r>
        <w:t>As described above, the ‘Gas Fee’ may be technology or blockchain-specific. Similarly, ‘Gas Limit’ and ‘Data Size’ may be specific fields which may provide certain information within the Ethereum blockchain but lack proper identification in other transactions.</w:t>
      </w:r>
    </w:p>
    <w:p w14:paraId="211A2E22" w14:textId="468E4265" w:rsidR="00FA64BE" w:rsidRDefault="000D6F0D" w:rsidP="00FA64BE">
      <w:r>
        <w:t xml:space="preserve">The Ethereum blockchain's unique feature of including "attachments" in a specific data field that impact the required "gas" for transaction processing is actually a notable distinction from many other blockchain networks. Several blockchain networks do not provide a direct equivalent to Ethereum's data attachment capability, or if they do, they function differently. Examples include Bitcoin, Ripple, Litecoin, Stellar, Tezos and other blockchains. </w:t>
      </w:r>
      <w:permEnd w:id="434728857"/>
      <w:r w:rsidR="00FA64BE">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573155DA" w14:textId="77777777" w:rsidR="000D6F0D" w:rsidRDefault="000D6F0D" w:rsidP="00FA64BE">
      <w:permStart w:id="1153519239" w:edGrp="everyone"/>
      <w:r w:rsidRPr="000D6F0D">
        <w:lastRenderedPageBreak/>
        <w:t>We believe the definitions and the scope thereof should be adjusted to fit various technologies. The regulator should aim for an agnostic approach.</w:t>
      </w:r>
    </w:p>
    <w:permEnd w:id="1153519239"/>
    <w:p w14:paraId="4EC663E9" w14:textId="3823F9C2"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B582F75" w14:textId="77777777" w:rsidR="000D6F0D" w:rsidRDefault="000D6F0D" w:rsidP="00FA64BE">
      <w:permStart w:id="1600871976" w:edGrp="everyone"/>
      <w:r w:rsidRPr="000D6F0D">
        <w:t>No.</w:t>
      </w:r>
    </w:p>
    <w:permEnd w:id="1600871976"/>
    <w:p w14:paraId="06651690" w14:textId="2F091ADC"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7148140A" w14:textId="77777777" w:rsidR="000D6F0D" w:rsidRDefault="000D6F0D" w:rsidP="00FA64BE">
      <w:permStart w:id="1581865548" w:edGrp="everyone"/>
      <w:r w:rsidRPr="000D6F0D">
        <w:t xml:space="preserve">We have reason to believe that some of the most novel advancements in technologies that preserve users' privacy may challenge the collection of data requested by the RTS. However, best practice on that matter is yet to be developed and may be limited to particular use cases, excluding orders envisioned in these RTS. Further, noting that certain information is blockchain-specific, the implementation may be difficult when applied to other blockchains which differ from Ethereum functionalities. </w:t>
      </w:r>
    </w:p>
    <w:permEnd w:id="1581865548"/>
    <w:p w14:paraId="4309CBAF" w14:textId="2D13F26D"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0CEDAB40" w14:textId="77777777" w:rsidR="000D6F0D" w:rsidRDefault="000D6F0D" w:rsidP="00FA64BE">
      <w:permStart w:id="1583566084" w:edGrp="everyone"/>
      <w:r w:rsidRPr="000D6F0D">
        <w:t xml:space="preserve">We believe there are plenty of market participants that are currently not in possession of LEI, while CASPs may demand LEI from their clients, we note that lack of regulatory requirements so far may contribute to a market disruption if CASPs are forced to prevent such clients from engaging in further activities. As we’ve advocated in many of our previous position papers, the identification of both legal and natural persons is often conducted through third-party service providers who offer KYC/KYB services. Similarly to the observations made through the AMLR negotiations - any type of identification process and collection of information thereof should promote privacy and encryption of provided data. </w:t>
      </w:r>
    </w:p>
    <w:permEnd w:id="1583566084"/>
    <w:p w14:paraId="6BD9EAE8" w14:textId="33883F35"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lastRenderedPageBreak/>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353C6B0B" w14:textId="77777777" w:rsidR="000D6F0D" w:rsidRDefault="000D6F0D" w:rsidP="00FA64BE">
      <w:permStart w:id="1884648141" w:edGrp="everyone"/>
      <w:r w:rsidRPr="000D6F0D">
        <w:t>We believe there will be no practical issues concerning short-selling flags.</w:t>
      </w:r>
    </w:p>
    <w:permEnd w:id="1884648141"/>
    <w:p w14:paraId="510C9527" w14:textId="10D0CC5B"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5944386C" w14:textId="77777777" w:rsidR="000D6F0D" w:rsidRDefault="000D6F0D" w:rsidP="00FA64BE">
      <w:permStart w:id="1636631957" w:edGrp="everyone"/>
      <w:r w:rsidRPr="000D6F0D">
        <w:t xml:space="preserve">We believe fill-or-kill strategies may be practically conflicting with strategies currently implemented and practised on trading platforms. </w:t>
      </w:r>
    </w:p>
    <w:permEnd w:id="1636631957"/>
    <w:p w14:paraId="28E0F441" w14:textId="336F8B6A"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lastRenderedPageBreak/>
        <w:t>&lt;ESMA_QUESTION_MIC2_56&gt;</w:t>
      </w:r>
    </w:p>
    <w:p w14:paraId="79D7D597" w14:textId="77777777" w:rsidR="000D6F0D" w:rsidRDefault="000D6F0D" w:rsidP="00FA64BE">
      <w:permStart w:id="727980254" w:edGrp="everyone"/>
      <w:r w:rsidRPr="000D6F0D">
        <w:t>While we observe some cryptocurrencies and companies comply with ISO 20022,  we did not receive a confirmation from our members regarding their implementation of this standard when sharing information with competent authorities. Consequently, we respectfully urge the regulator to take into account prevailing industry practices and to reconsider the implementation of ISO 20022. This reconsideration aims to maintain flexibility and foster ongoing communication and information sharing among relevant stakeholders.</w:t>
      </w:r>
    </w:p>
    <w:permEnd w:id="727980254"/>
    <w:p w14:paraId="1871ACCA" w14:textId="3D1F6E50"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42BD14DA" w14:textId="77777777" w:rsidR="000D6F0D" w:rsidRPr="000D6F0D" w:rsidRDefault="000D6F0D" w:rsidP="000D6F0D">
      <w:pPr>
        <w:spacing w:line="276" w:lineRule="auto"/>
        <w:jc w:val="both"/>
        <w:rPr>
          <w:rFonts w:eastAsia="Roboto"/>
          <w:highlight w:val="white"/>
        </w:rPr>
      </w:pPr>
      <w:permStart w:id="1961385165" w:edGrp="everyone"/>
      <w:r w:rsidRPr="000D6F0D">
        <w:rPr>
          <w:rFonts w:eastAsia="Roboto"/>
          <w:highlight w:val="white"/>
        </w:rPr>
        <w:t>We note that the iXBRL is primarily used for its ability to enhance the efficiency, accuracy, and accessibility of financial data, which is crucial for effective regulatory compliance, analysis, and decision-making in the financial sector. As such it can be extremely useful and often mandated by regulatory bodies for periodic financial reporting (e.g., annual and quarterly reports).</w:t>
      </w:r>
    </w:p>
    <w:p w14:paraId="6AD5D339" w14:textId="77777777" w:rsidR="000D6F0D" w:rsidRPr="000D6F0D" w:rsidRDefault="000D6F0D" w:rsidP="000D6F0D">
      <w:pPr>
        <w:spacing w:line="276" w:lineRule="auto"/>
        <w:jc w:val="both"/>
        <w:rPr>
          <w:rFonts w:eastAsia="Roboto"/>
        </w:rPr>
      </w:pPr>
    </w:p>
    <w:p w14:paraId="28151E5B" w14:textId="77777777" w:rsidR="000D6F0D" w:rsidRPr="000D6F0D" w:rsidRDefault="000D6F0D" w:rsidP="000D6F0D">
      <w:pPr>
        <w:spacing w:line="276" w:lineRule="auto"/>
        <w:jc w:val="both"/>
        <w:rPr>
          <w:rFonts w:eastAsia="Roboto"/>
          <w:highlight w:val="white"/>
        </w:rPr>
      </w:pPr>
      <w:r w:rsidRPr="000D6F0D">
        <w:rPr>
          <w:rFonts w:eastAsia="Roboto"/>
          <w:highlight w:val="white"/>
        </w:rPr>
        <w:t xml:space="preserve">According to MiCA and proposed RTS, the white papers should contain information that closely aligns with the format and detail typically seen in a company’s prospectus. However, neither the white paper nor the prospectus includes detailed financial statements such as balance sheets, income statements, cash flow statements, and notes to the accounts, which is often the case with financial reports submitted in the iXBRL format. The primary purpose of this format and tool is to provide a clear, accurate, and standardised presentation of a company's financial position and performance. </w:t>
      </w:r>
    </w:p>
    <w:p w14:paraId="4D3A4B38" w14:textId="77777777" w:rsidR="000D6F0D" w:rsidRPr="000D6F0D" w:rsidRDefault="000D6F0D" w:rsidP="000D6F0D">
      <w:pPr>
        <w:spacing w:line="276" w:lineRule="auto"/>
        <w:jc w:val="both"/>
        <w:rPr>
          <w:rFonts w:eastAsia="Roboto"/>
        </w:rPr>
      </w:pPr>
    </w:p>
    <w:p w14:paraId="50648C18" w14:textId="77777777" w:rsidR="000D6F0D" w:rsidRPr="000D6F0D" w:rsidRDefault="000D6F0D" w:rsidP="000D6F0D">
      <w:pPr>
        <w:spacing w:line="276" w:lineRule="auto"/>
        <w:jc w:val="both"/>
        <w:rPr>
          <w:rFonts w:eastAsia="Roboto"/>
          <w:color w:val="0F0F0F"/>
          <w:highlight w:val="white"/>
        </w:rPr>
      </w:pPr>
      <w:r w:rsidRPr="000D6F0D">
        <w:rPr>
          <w:rFonts w:eastAsia="Roboto"/>
          <w:color w:val="0F0F0F"/>
          <w:highlight w:val="white"/>
        </w:rPr>
        <w:t xml:space="preserve">Since the iXBRL focuses specifically on financial data and its accurate, standardised representation in financial reports, which are updated regularly (e.g. quarterly, yearly basis), we believe it is not the most suitable tool to be mandated for the machine-readable format of a white paper according to MiCA. </w:t>
      </w:r>
    </w:p>
    <w:p w14:paraId="3C5F4C03" w14:textId="77777777" w:rsidR="000D6F0D" w:rsidRPr="000D6F0D" w:rsidRDefault="000D6F0D" w:rsidP="000D6F0D">
      <w:pPr>
        <w:spacing w:line="276" w:lineRule="auto"/>
        <w:jc w:val="both"/>
        <w:rPr>
          <w:rFonts w:eastAsia="Roboto"/>
          <w:color w:val="0F0F0F"/>
          <w:highlight w:val="white"/>
        </w:rPr>
      </w:pPr>
    </w:p>
    <w:p w14:paraId="2EF3DA05" w14:textId="77777777" w:rsidR="000D6F0D" w:rsidRPr="000D6F0D" w:rsidRDefault="000D6F0D" w:rsidP="000D6F0D">
      <w:pPr>
        <w:spacing w:line="276" w:lineRule="auto"/>
        <w:jc w:val="both"/>
      </w:pPr>
      <w:r w:rsidRPr="000D6F0D">
        <w:rPr>
          <w:rFonts w:eastAsia="Roboto"/>
          <w:color w:val="0F0F0F"/>
          <w:highlight w:val="white"/>
        </w:rPr>
        <w:t>We applaud the commendable efforts undertaken by ESMA in the development of the Proof of Concept (PoC), showcasing an editable template of a compliant iXBRL white paper. As a constructive suggestion, we propose that ESMA consider the standardisation of the submission process by implementing an online submission system that uniformly collects the necessary information outlined in the white paper from different projects. Noting that most of the text provided through the iXBRL format of a white paper remains a “free text”,</w:t>
      </w:r>
      <w:r w:rsidRPr="000D6F0D">
        <w:rPr>
          <w:rFonts w:eastAsia="Roboto"/>
          <w:color w:val="0F0F0F"/>
          <w:highlight w:val="white"/>
          <w:vertAlign w:val="superscript"/>
        </w:rPr>
        <w:footnoteReference w:id="5"/>
      </w:r>
      <w:r w:rsidRPr="000D6F0D">
        <w:rPr>
          <w:rFonts w:eastAsia="Roboto"/>
          <w:color w:val="0F0F0F"/>
          <w:highlight w:val="white"/>
        </w:rPr>
        <w:t xml:space="preserve"> an online </w:t>
      </w:r>
      <w:r w:rsidRPr="000D6F0D">
        <w:rPr>
          <w:rFonts w:eastAsia="Roboto"/>
          <w:color w:val="0F0F0F"/>
          <w:highlight w:val="white"/>
        </w:rPr>
        <w:lastRenderedPageBreak/>
        <w:t>submission form provided by ESMA may be a much better approach. It would eliminate the need for individual projects to create and submit their own iXBRL files, pay software licenses, and cover the cost of training the employees and/or support for the use of tagging software. Lastly, it is observed that the iXBRL implementation costs for the regulators range “between 70,000.00 EUR and 2,200,200.00 EUR depending on the functionalities of the system, decisions on supporting or not taxonomy extensions, number of issuers and reports, etc.”</w:t>
      </w:r>
      <w:r w:rsidRPr="000D6F0D">
        <w:rPr>
          <w:rFonts w:eastAsia="Roboto"/>
          <w:color w:val="0F0F0F"/>
          <w:highlight w:val="white"/>
          <w:vertAlign w:val="superscript"/>
        </w:rPr>
        <w:footnoteReference w:id="6"/>
      </w:r>
      <w:r w:rsidRPr="000D6F0D">
        <w:rPr>
          <w:rFonts w:eastAsia="Roboto"/>
          <w:color w:val="0F0F0F"/>
          <w:highlight w:val="white"/>
        </w:rPr>
        <w:t xml:space="preserve"> The regulator may achieve enhanced efficiency if they implemented system is less complex yet sufficient for the “free text” format and overall information provided through the white papers as prescribed by MiCA. </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2A094B99" w14:textId="77777777" w:rsidR="000D6F0D" w:rsidRDefault="000D6F0D" w:rsidP="00FA64BE">
      <w:permStart w:id="700199222" w:edGrp="everyone"/>
      <w:r w:rsidRPr="000D6F0D">
        <w:t>We concur with the concept of a white paper being a self-contained document utilising a closed taxonomy.</w:t>
      </w:r>
    </w:p>
    <w:permEnd w:id="700199222"/>
    <w:p w14:paraId="1F357EBD" w14:textId="05DDD38C"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53932597" w14:textId="77777777" w:rsidR="000D6F0D" w:rsidRDefault="000D6F0D" w:rsidP="000D6F0D">
      <w:permStart w:id="526270645" w:edGrp="everyone"/>
      <w:r>
        <w:t>We believe an online form on ESMA’s website through which individuals can submit the information described in ESMA’s PoC for white papers can be sufficient to deal with the complexity of the provided information.</w:t>
      </w:r>
    </w:p>
    <w:p w14:paraId="746A938B" w14:textId="77777777" w:rsidR="000D6F0D" w:rsidRDefault="000D6F0D" w:rsidP="00FA64BE">
      <w:r>
        <w:t xml:space="preserve">This ubiquitous format ensures that crucial project details remain readily accessible and comprehensible to a diverse audience, including potential investors, researchers, and stakeholders. It fosters transparency and facilitates the effective dissemination of project particulars. A PDF can, in fact, be used for data extraction, but the ease and effectiveness of extracting data from a PDF depend on the nature of the PDF file itself. There are several different PDF types that make the data extraction process possible, among them are PDF with a) Text Layer (Searchable PDF), b) Tagged PDFs, c) PDF/UA (Universal Accessibility), d) PDF with Embedded XML, e) PDF Forms (AcroForms and XFA Forms), and f) Linearized PDFs for Fast Web View. </w:t>
      </w:r>
    </w:p>
    <w:permEnd w:id="526270645"/>
    <w:p w14:paraId="6812A84C" w14:textId="1944833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lastRenderedPageBreak/>
        <w:t>&lt;ESMA_QUESTION_MIC2_60&gt;</w:t>
      </w:r>
    </w:p>
    <w:p w14:paraId="6EC6FF5A" w14:textId="77777777" w:rsidR="000D6F0D" w:rsidRDefault="000D6F0D" w:rsidP="00FA64BE">
      <w:permStart w:id="48898670" w:edGrp="everyone"/>
      <w:r w:rsidRPr="000D6F0D">
        <w:t>EUCI as a non-profit organisation that advocates on behalf of the blockchain industry stakeholders is not currently preparing any white papers. Based on a survey conducted among our members, it has been observed that the majority of whitepapers issued in the past were formatted as machine-readable PDFs. While this approach has been prevalent, we recognise and appreciate the necessity for standardisation and the coherent provision of information as mandated by the MiCA regulation.</w:t>
      </w:r>
    </w:p>
    <w:permEnd w:id="48898670"/>
    <w:p w14:paraId="0ED3DDA3" w14:textId="103C2793"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1F38BA0D" w14:textId="77777777" w:rsidR="000D6F0D" w:rsidRDefault="000D6F0D" w:rsidP="00FA64BE">
      <w:permStart w:id="792558157" w:edGrp="everyone"/>
      <w:r w:rsidRPr="000D6F0D">
        <w:t>In light of insights gained from EUCI’s esteemed members' collective experiences and best practices, it is apparent that an overwhelming 99% of publicly disseminated whitepapers adhere to the machine-readable PDF format. This favoured format can be attributed to the typical content enclosed within these whitepapers, which predominantly encompasses core aspects such as the project's business proposition, unique value proposition, comparative market analysis, detailed token or protocol descriptions, mathematical foundations, token distribution mechanisms, predictions, timelines, and comprehensive team profiles, including advisory roles, etc.</w:t>
      </w:r>
    </w:p>
    <w:permEnd w:id="792558157"/>
    <w:p w14:paraId="5A735ECC" w14:textId="2FA6708E"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67E97597" w14:textId="77777777" w:rsidR="000D6F0D" w:rsidRDefault="000D6F0D" w:rsidP="00FA64BE">
      <w:permStart w:id="1645111618" w:edGrp="everyone"/>
      <w:r w:rsidRPr="000D6F0D">
        <w:t xml:space="preserve">We deem it necessary to account for the costs of human resources to mitigate both training and employee rotation. Additionally, as it is visible from the referenced study, the numbers refer solely to the tagging process and do not include subsequent review necessary to ensure the quality of the filing, nor do they assume taxonomy extension and expected tagging of notes as blocks. While these may be relevant cost considerations, our overall conclusion is that any of such costs are hardly justified and may burden particular SMEs, which could submit their white papers through a much simpler process that does not require a software license for an iXBRL format. </w:t>
      </w:r>
    </w:p>
    <w:permEnd w:id="1645111618"/>
    <w:p w14:paraId="46D9A903" w14:textId="117245B9"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w:t>
      </w:r>
      <w:r w:rsidRPr="003A287A">
        <w:lastRenderedPageBreak/>
        <w:t xml:space="preserve">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FC3C8B1" w14:textId="77777777" w:rsidR="000D6F0D" w:rsidRDefault="000D6F0D" w:rsidP="00FA64BE">
      <w:permStart w:id="614204863" w:edGrp="everyone"/>
      <w:r w:rsidRPr="000D6F0D">
        <w:t>We generally agree. Field no. 15, referring to languages, should allow for a markup of which language (if any) is perceived to be the prevailing language in case of a conflict between various different languages of the white paper.</w:t>
      </w:r>
    </w:p>
    <w:permEnd w:id="614204863"/>
    <w:p w14:paraId="6B0401FF" w14:textId="61EA9786"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0008D0B8" w14:textId="77777777" w:rsidR="000D6F0D" w:rsidRDefault="000D6F0D" w:rsidP="00FA64BE">
      <w:permStart w:id="2049062037" w:edGrp="everyone"/>
      <w:r w:rsidRPr="000D6F0D">
        <w:t>As already mentioned above, the Functionally Fungible Digital Token Identifier would benefit from further explanation to prevent the IDTF or other bodies, managing the token identifier at hand, from arbitrarily affecting such elements.</w:t>
      </w:r>
    </w:p>
    <w:permEnd w:id="2049062037"/>
    <w:p w14:paraId="1C737931" w14:textId="07C0870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4C45D47A" w14:textId="77777777" w:rsidR="000D6F0D" w:rsidRDefault="000D6F0D" w:rsidP="00FA64BE">
      <w:permStart w:id="1755794706" w:edGrp="everyone"/>
      <w:r w:rsidRPr="000D6F0D">
        <w:t xml:space="preserve">Yes. </w:t>
      </w:r>
    </w:p>
    <w:permEnd w:id="1755794706"/>
    <w:p w14:paraId="36790579" w14:textId="483249CB"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3BD79C67" w14:textId="77777777" w:rsidR="000D6F0D" w:rsidRDefault="000D6F0D" w:rsidP="000D6F0D">
      <w:permStart w:id="577381131" w:edGrp="everyone"/>
      <w:r>
        <w:t>We generally concur with the current data elements prescribed for crypto-asset white papers under the MiCA regulation, as they are deemed sufficient for the fundamental purpose of a white paper.</w:t>
      </w:r>
    </w:p>
    <w:p w14:paraId="5997DE07" w14:textId="77777777" w:rsidR="000D6F0D" w:rsidRDefault="000D6F0D" w:rsidP="000D6F0D"/>
    <w:p w14:paraId="74D2C04D" w14:textId="77777777" w:rsidR="000D6F0D" w:rsidRDefault="000D6F0D" w:rsidP="00FA64BE">
      <w:r>
        <w:t xml:space="preserve">Furthermore, it's noteworthy to observe that additional information may often be provided in supplementary materials beyond the white paper. This additional content should be viewed positively by regulators, as it represents a willingness among issuers to go beyond the minimum requirements to offer more detailed insights into their projects. Such supplementary and explanatory documentation can also be beneficial to investors, as it provides a deeper understanding of the crypto asset, its underlying technology, and market dynamics. </w:t>
      </w:r>
    </w:p>
    <w:permEnd w:id="577381131"/>
    <w:p w14:paraId="28982E8F" w14:textId="1CE769CE" w:rsidR="00FA64BE" w:rsidRDefault="00FA64BE" w:rsidP="00FA64BE">
      <w:r>
        <w:lastRenderedPageBreak/>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7F48F8EF" w14:textId="77777777" w:rsidR="000D6F0D" w:rsidRDefault="000D6F0D" w:rsidP="00FA64BE">
      <w:permStart w:id="4129221" w:edGrp="everyone"/>
      <w:r w:rsidRPr="000D6F0D">
        <w:t xml:space="preserve">Yes. </w:t>
      </w:r>
    </w:p>
    <w:permEnd w:id="4129221"/>
    <w:p w14:paraId="3BA302D8" w14:textId="635CEEFB"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3420335A" w14:textId="77777777" w:rsidR="000D6F0D" w:rsidRDefault="000D6F0D" w:rsidP="00FA64BE">
      <w:permStart w:id="1074470825" w:edGrp="everyone"/>
      <w:r w:rsidRPr="000D6F0D">
        <w:t xml:space="preserve">Yes, however, we again wish to emphasise that the use of iXBRL may not be the most appropriate format in which the information is presented to the retail investors and would like to point out that this format has not been made a requirement for prospectuses or crowdfunding KIS documents. </w:t>
      </w:r>
    </w:p>
    <w:permEnd w:id="1074470825"/>
    <w:p w14:paraId="0035CE7A" w14:textId="3E85F54C"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5AB4A65D" w14:textId="77777777" w:rsidR="000D6F0D" w:rsidRDefault="000D6F0D" w:rsidP="00FA64BE">
      <w:permStart w:id="554120606" w:edGrp="everyone"/>
      <w:r w:rsidRPr="000D6F0D">
        <w:t>We do not have any additional comments or feedback with regard to the metadata on the “industry sectors of the economic activities”.</w:t>
      </w:r>
    </w:p>
    <w:permEnd w:id="554120606"/>
    <w:p w14:paraId="2582E3BC" w14:textId="7666A429"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22609190" w14:textId="77777777" w:rsidR="000D6F0D" w:rsidRDefault="000D6F0D" w:rsidP="00FA64BE">
      <w:permStart w:id="645483075" w:edGrp="everyone"/>
      <w:r w:rsidRPr="000D6F0D">
        <w:t>Regarding the definition under point (e), ‘web-based platforms’ we wish to point out to Article 3 point (i) of the Digital Service Act, Regulation (EU) 2022/1925, which offers a definition of the ‘online platforms’.</w:t>
      </w:r>
    </w:p>
    <w:permEnd w:id="645483075"/>
    <w:p w14:paraId="59AA3F39" w14:textId="44A5A966"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2D2CFFC1" w14:textId="77777777" w:rsidR="000D6F0D" w:rsidRDefault="000D6F0D" w:rsidP="00FA64BE">
      <w:permStart w:id="2000565227" w:edGrp="everyone"/>
      <w:r w:rsidRPr="000D6F0D">
        <w:t>Yes, we agree with the proposed requirements and would not consider any additional ones.</w:t>
      </w:r>
    </w:p>
    <w:permEnd w:id="2000565227"/>
    <w:p w14:paraId="00AFFD6F" w14:textId="51365A24"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05180397" w14:textId="77777777" w:rsidR="000D6F0D" w:rsidRDefault="000D6F0D" w:rsidP="00FA64BE">
      <w:permStart w:id="972051028" w:edGrp="everyone"/>
      <w:r w:rsidRPr="000D6F0D">
        <w:t>No.</w:t>
      </w:r>
    </w:p>
    <w:permEnd w:id="972051028"/>
    <w:p w14:paraId="1E2361AB" w14:textId="2F665D5A"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8C866DC" w14:textId="77777777" w:rsidR="000D6F0D" w:rsidRPr="000D6F0D" w:rsidRDefault="000D6F0D" w:rsidP="000D6F0D">
      <w:pPr>
        <w:spacing w:line="276" w:lineRule="auto"/>
        <w:jc w:val="both"/>
        <w:rPr>
          <w:rFonts w:eastAsia="Roboto"/>
        </w:rPr>
      </w:pPr>
      <w:permStart w:id="155347688" w:edGrp="everyone"/>
      <w:r w:rsidRPr="000D6F0D">
        <w:rPr>
          <w:rFonts w:eastAsia="Roboto"/>
        </w:rPr>
        <w:t>According to traffic reports found on SimilarWeb</w:t>
      </w:r>
      <w:r w:rsidRPr="000D6F0D">
        <w:rPr>
          <w:rFonts w:eastAsia="Roboto"/>
          <w:vertAlign w:val="superscript"/>
        </w:rPr>
        <w:footnoteReference w:id="7"/>
      </w:r>
      <w:r w:rsidRPr="000D6F0D">
        <w:rPr>
          <w:rFonts w:eastAsia="Roboto"/>
        </w:rPr>
        <w:t>, the following list of media is currently the most relied upon by the public to collect information on crypto-assets along with their annual webpage traffic:</w:t>
      </w:r>
    </w:p>
    <w:p w14:paraId="2B1ED5CC" w14:textId="77777777" w:rsidR="000D6F0D" w:rsidRPr="000D6F0D" w:rsidRDefault="000D6F0D" w:rsidP="000D6F0D">
      <w:pPr>
        <w:spacing w:line="276" w:lineRule="auto"/>
        <w:jc w:val="both"/>
        <w:rPr>
          <w:rFonts w:eastAsia="Roboto"/>
        </w:rPr>
      </w:pPr>
    </w:p>
    <w:p w14:paraId="58FCBEB6" w14:textId="77777777" w:rsidR="000D6F0D" w:rsidRPr="000D6F0D" w:rsidRDefault="000D6F0D" w:rsidP="000D6F0D">
      <w:pPr>
        <w:spacing w:line="276" w:lineRule="auto"/>
        <w:jc w:val="both"/>
        <w:rPr>
          <w:rFonts w:eastAsia="Roboto"/>
        </w:rPr>
      </w:pPr>
      <w:r w:rsidRPr="000D6F0D">
        <w:rPr>
          <w:rFonts w:eastAsia="Roboto"/>
        </w:rPr>
        <w:t>1. Cointelegraph (7.3 million yearly visitors),</w:t>
      </w:r>
    </w:p>
    <w:p w14:paraId="732D3085" w14:textId="77777777" w:rsidR="000D6F0D" w:rsidRPr="000D6F0D" w:rsidRDefault="000D6F0D" w:rsidP="000D6F0D">
      <w:pPr>
        <w:spacing w:line="276" w:lineRule="auto"/>
        <w:jc w:val="both"/>
        <w:rPr>
          <w:rFonts w:eastAsia="Roboto"/>
        </w:rPr>
      </w:pPr>
      <w:r w:rsidRPr="000D6F0D">
        <w:rPr>
          <w:rFonts w:eastAsia="Roboto"/>
        </w:rPr>
        <w:t>2. CoinDesk (7.2 million yearly visitors),</w:t>
      </w:r>
    </w:p>
    <w:p w14:paraId="27AB4771" w14:textId="77777777" w:rsidR="000D6F0D" w:rsidRPr="000D6F0D" w:rsidRDefault="000D6F0D" w:rsidP="000D6F0D">
      <w:pPr>
        <w:spacing w:line="276" w:lineRule="auto"/>
        <w:jc w:val="both"/>
        <w:rPr>
          <w:rFonts w:eastAsia="Roboto"/>
        </w:rPr>
      </w:pPr>
      <w:r w:rsidRPr="000D6F0D">
        <w:rPr>
          <w:rFonts w:eastAsia="Roboto"/>
        </w:rPr>
        <w:t>3. BeInCrypto  (4.7 million yearly visitors),</w:t>
      </w:r>
    </w:p>
    <w:p w14:paraId="70E08DE5" w14:textId="77777777" w:rsidR="000D6F0D" w:rsidRPr="000D6F0D" w:rsidRDefault="000D6F0D" w:rsidP="000D6F0D">
      <w:pPr>
        <w:spacing w:line="276" w:lineRule="auto"/>
        <w:jc w:val="both"/>
        <w:rPr>
          <w:rFonts w:eastAsia="Roboto"/>
        </w:rPr>
      </w:pPr>
      <w:r w:rsidRPr="000D6F0D">
        <w:rPr>
          <w:rFonts w:eastAsia="Roboto"/>
        </w:rPr>
        <w:t>4. Decrypt (3.6 million yearly visitors),</w:t>
      </w:r>
    </w:p>
    <w:p w14:paraId="71B06DD8" w14:textId="77777777" w:rsidR="000D6F0D" w:rsidRPr="000D6F0D" w:rsidRDefault="000D6F0D" w:rsidP="000D6F0D">
      <w:pPr>
        <w:spacing w:line="276" w:lineRule="auto"/>
        <w:jc w:val="both"/>
        <w:rPr>
          <w:rFonts w:eastAsia="Roboto"/>
        </w:rPr>
      </w:pPr>
      <w:r w:rsidRPr="000D6F0D">
        <w:rPr>
          <w:rFonts w:eastAsia="Roboto"/>
        </w:rPr>
        <w:t xml:space="preserve">5. U.Today (3 million yearly visitors), </w:t>
      </w:r>
    </w:p>
    <w:p w14:paraId="1872E7CA" w14:textId="77777777" w:rsidR="000D6F0D" w:rsidRPr="000D6F0D" w:rsidRDefault="000D6F0D" w:rsidP="000D6F0D">
      <w:pPr>
        <w:spacing w:line="276" w:lineRule="auto"/>
        <w:jc w:val="both"/>
        <w:rPr>
          <w:rFonts w:eastAsia="Roboto"/>
        </w:rPr>
      </w:pPr>
      <w:r w:rsidRPr="000D6F0D">
        <w:rPr>
          <w:rFonts w:eastAsia="Roboto"/>
        </w:rPr>
        <w:t xml:space="preserve">6. Bitcoin.com (2.9 million yearly visitors), </w:t>
      </w:r>
    </w:p>
    <w:p w14:paraId="0B32EEA7" w14:textId="77777777" w:rsidR="000D6F0D" w:rsidRPr="000D6F0D" w:rsidRDefault="000D6F0D" w:rsidP="000D6F0D">
      <w:pPr>
        <w:spacing w:line="276" w:lineRule="auto"/>
        <w:jc w:val="both"/>
        <w:rPr>
          <w:rFonts w:eastAsia="Roboto"/>
        </w:rPr>
      </w:pPr>
      <w:r w:rsidRPr="000D6F0D">
        <w:rPr>
          <w:rFonts w:eastAsia="Roboto"/>
        </w:rPr>
        <w:t>7. Blockworks (2.8 million yearly visitors),</w:t>
      </w:r>
    </w:p>
    <w:p w14:paraId="3BFA2DF9" w14:textId="77777777" w:rsidR="000D6F0D" w:rsidRPr="000D6F0D" w:rsidRDefault="000D6F0D" w:rsidP="000D6F0D">
      <w:pPr>
        <w:spacing w:line="276" w:lineRule="auto"/>
        <w:jc w:val="both"/>
        <w:rPr>
          <w:rFonts w:eastAsia="Roboto"/>
        </w:rPr>
      </w:pPr>
      <w:r w:rsidRPr="000D6F0D">
        <w:rPr>
          <w:rFonts w:eastAsia="Roboto"/>
        </w:rPr>
        <w:t>8. Cryptonews.com (2.1 million yearly visitors),</w:t>
      </w:r>
    </w:p>
    <w:p w14:paraId="07C270DE" w14:textId="77777777" w:rsidR="000D6F0D" w:rsidRPr="000D6F0D" w:rsidRDefault="000D6F0D" w:rsidP="000D6F0D">
      <w:pPr>
        <w:spacing w:line="276" w:lineRule="auto"/>
        <w:jc w:val="both"/>
        <w:rPr>
          <w:rFonts w:eastAsia="Roboto"/>
        </w:rPr>
      </w:pPr>
      <w:r w:rsidRPr="000D6F0D">
        <w:rPr>
          <w:rFonts w:eastAsia="Roboto"/>
        </w:rPr>
        <w:t>9. Coincodex (2.1 million yearly visitors),</w:t>
      </w:r>
    </w:p>
    <w:p w14:paraId="4970AC18" w14:textId="77777777" w:rsidR="000D6F0D" w:rsidRPr="000D6F0D" w:rsidRDefault="000D6F0D" w:rsidP="000D6F0D">
      <w:pPr>
        <w:spacing w:line="276" w:lineRule="auto"/>
        <w:jc w:val="both"/>
        <w:rPr>
          <w:rFonts w:eastAsia="Roboto"/>
        </w:rPr>
      </w:pPr>
      <w:r w:rsidRPr="000D6F0D">
        <w:rPr>
          <w:rFonts w:eastAsia="Roboto"/>
        </w:rPr>
        <w:t>10. The Block (1.9 million yearly visitors),</w:t>
      </w:r>
    </w:p>
    <w:p w14:paraId="0286FE72" w14:textId="77777777" w:rsidR="000D6F0D" w:rsidRPr="000D6F0D" w:rsidRDefault="000D6F0D" w:rsidP="000D6F0D">
      <w:pPr>
        <w:spacing w:line="276" w:lineRule="auto"/>
        <w:jc w:val="both"/>
        <w:rPr>
          <w:rFonts w:eastAsia="Roboto"/>
        </w:rPr>
      </w:pPr>
      <w:r w:rsidRPr="000D6F0D">
        <w:rPr>
          <w:rFonts w:eastAsia="Roboto"/>
        </w:rPr>
        <w:t>11. DeFi Llama (1.6 million yearly visitors)</w:t>
      </w:r>
      <w:r w:rsidRPr="000D6F0D">
        <w:rPr>
          <w:rFonts w:eastAsia="Roboto"/>
          <w:vertAlign w:val="superscript"/>
        </w:rPr>
        <w:footnoteReference w:id="8"/>
      </w:r>
      <w:r w:rsidRPr="000D6F0D">
        <w:rPr>
          <w:rFonts w:eastAsia="Roboto"/>
        </w:rPr>
        <w:t>.</w:t>
      </w:r>
    </w:p>
    <w:p w14:paraId="0FDC1A35" w14:textId="77777777" w:rsidR="000D6F0D" w:rsidRPr="000D6F0D" w:rsidRDefault="000D6F0D" w:rsidP="000D6F0D">
      <w:pPr>
        <w:spacing w:line="276" w:lineRule="auto"/>
        <w:jc w:val="both"/>
        <w:rPr>
          <w:rFonts w:eastAsia="Roboto"/>
        </w:rPr>
      </w:pPr>
    </w:p>
    <w:p w14:paraId="09E61EFA" w14:textId="77777777" w:rsidR="000D6F0D" w:rsidRPr="000D6F0D" w:rsidRDefault="000D6F0D" w:rsidP="000D6F0D">
      <w:pPr>
        <w:spacing w:line="276" w:lineRule="auto"/>
        <w:jc w:val="both"/>
        <w:rPr>
          <w:rFonts w:eastAsia="Roboto"/>
        </w:rPr>
      </w:pPr>
      <w:r w:rsidRPr="000D6F0D">
        <w:rPr>
          <w:rFonts w:eastAsia="Roboto"/>
        </w:rPr>
        <w:t>The above list does not represent any form of affiliation, endorsement, or promotion from our side. We strongly encourage the regulator to conduct comprehensive research and seek out concrete statistics or reports. This will provide valuable insights into which media platforms are currently considered the most reliable and widely relied upon by the public. Such data-driven analysis is essential for making informed decisions and ensuring regulatory measures are aligned with actual market practices and user preferences.</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lastRenderedPageBreak/>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2CC28D41" w14:textId="77777777" w:rsidR="000D6F0D" w:rsidRDefault="000D6F0D" w:rsidP="000D6F0D">
      <w:permStart w:id="522736265" w:edGrp="everyone"/>
      <w:r>
        <w:t>Since the regulator seeks efficiency with the dissemination, we believe the dissemination of such information should be happening through the channels and media primarily used for the circulation of such relevant information. Therefore, we deem traditional media not to be the most effective and appropriate channel and support the notion of the regulator to disseminate the information through less traditional channels.</w:t>
      </w:r>
    </w:p>
    <w:p w14:paraId="3EB1C404" w14:textId="77777777" w:rsidR="000D6F0D" w:rsidRDefault="000D6F0D" w:rsidP="000D6F0D"/>
    <w:p w14:paraId="44B99948" w14:textId="77777777" w:rsidR="000D6F0D" w:rsidRDefault="000D6F0D" w:rsidP="000D6F0D">
      <w:r>
        <w:t xml:space="preserve">The risks thereof may be linked to compliance with Article 3(5) requirements, including assurance of completeness, integrity, and confidentiality of the information maintained during transmission. The difference between the media listed above and the traditional media channels may also be the lack of (journalism) codes of ethics and standards. </w:t>
      </w:r>
    </w:p>
    <w:p w14:paraId="1F3A321B" w14:textId="77777777" w:rsidR="000D6F0D" w:rsidRDefault="000D6F0D" w:rsidP="000D6F0D"/>
    <w:p w14:paraId="16A0EC36" w14:textId="77777777" w:rsidR="000D6F0D" w:rsidRDefault="000D6F0D" w:rsidP="000D6F0D">
      <w:r>
        <w:t>While we observe that Telegram groups, Signal channels, and Discord servers may often be relied upon by the public when seeking particular relevant information, we note these social media may lack the rigorous editorial standards and verification processes found in traditional media. Depending on how well the engagement is curated, the messages may be posted by anyone, making it more difficult to verify the credibility of the source and the accuracy of the information. Acknowledging the evolving landscape of social media, it's advisable for regulators to recognise that sharing information through certain channels and media can be both adequate and appropriate when the public significantly relies on these sources. This acknowledgement may be contingent upon the condition that the platform or media in question has sufficiently developed moderation and curation systems in place to ensure the accuracy and reliability of the information disseminated.</w:t>
      </w:r>
    </w:p>
    <w:p w14:paraId="36928226" w14:textId="77777777" w:rsidR="000D6F0D" w:rsidRDefault="000D6F0D" w:rsidP="000D6F0D"/>
    <w:p w14:paraId="7FAFF1AF" w14:textId="77777777" w:rsidR="000D6F0D" w:rsidRDefault="000D6F0D" w:rsidP="00FA64BE">
      <w:r>
        <w:t>We believe the appropriateness of these channels for disseminating specific types of information should be made on a case-by-case basis. A one-size-fits-all approach might not be suitable, given the diverse nature of these platforms and the varying degrees of public reliance on them. Each instance should be evaluated individually, considering factors like the platform's reach, credibility, audience demographics, the nature of the information being disseminated, and the level of curation and moderation on the media or platform at hand.</w:t>
      </w:r>
    </w:p>
    <w:permEnd w:id="522736265"/>
    <w:p w14:paraId="2910C07C" w14:textId="315E09EF"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59C66C55" w14:textId="77777777" w:rsidR="000D6F0D" w:rsidRDefault="000D6F0D" w:rsidP="00FA64BE">
      <w:permStart w:id="573204027" w:edGrp="everyone"/>
      <w:r w:rsidRPr="000D6F0D">
        <w:t>See above.</w:t>
      </w:r>
    </w:p>
    <w:permEnd w:id="573204027"/>
    <w:p w14:paraId="663F397B" w14:textId="4D4E8EBB"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lastRenderedPageBreak/>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5F29A4FE" w14:textId="77777777" w:rsidR="000D6F0D" w:rsidRDefault="000D6F0D" w:rsidP="00FA64BE">
      <w:permStart w:id="505832041" w:edGrp="everyone"/>
      <w:r w:rsidRPr="000D6F0D">
        <w:t>No.</w:t>
      </w:r>
    </w:p>
    <w:permEnd w:id="505832041"/>
    <w:p w14:paraId="6F624D7F" w14:textId="3D1EBC46"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5D81D8C" w14:textId="77777777" w:rsidR="000D6F0D" w:rsidRDefault="000D6F0D" w:rsidP="00FA64BE">
      <w:permStart w:id="447955519" w:edGrp="everyone"/>
      <w:r w:rsidRPr="000D6F0D">
        <w:t xml:space="preserve">Yes. </w:t>
      </w:r>
    </w:p>
    <w:permEnd w:id="447955519"/>
    <w:p w14:paraId="706074D2" w14:textId="344C8005"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FE79" w14:textId="77777777" w:rsidR="00E927B1" w:rsidRDefault="00E927B1" w:rsidP="007E7997">
      <w:r>
        <w:separator/>
      </w:r>
    </w:p>
  </w:endnote>
  <w:endnote w:type="continuationSeparator" w:id="0">
    <w:p w14:paraId="6220A064" w14:textId="77777777" w:rsidR="00E927B1" w:rsidRDefault="00E927B1" w:rsidP="007E7997">
      <w:r>
        <w:continuationSeparator/>
      </w:r>
    </w:p>
  </w:endnote>
  <w:endnote w:type="continuationNotice" w:id="1">
    <w:p w14:paraId="1B85D532" w14:textId="77777777" w:rsidR="00E927B1" w:rsidRDefault="00E92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Nog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Nog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Nog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Nog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CDAD" w14:textId="77777777" w:rsidR="00E927B1" w:rsidRDefault="00E927B1" w:rsidP="007E7997">
      <w:r>
        <w:separator/>
      </w:r>
    </w:p>
  </w:footnote>
  <w:footnote w:type="continuationSeparator" w:id="0">
    <w:p w14:paraId="28D882B6" w14:textId="77777777" w:rsidR="00E927B1" w:rsidRDefault="00E927B1" w:rsidP="007E7997">
      <w:r>
        <w:continuationSeparator/>
      </w:r>
    </w:p>
  </w:footnote>
  <w:footnote w:type="continuationNotice" w:id="1">
    <w:p w14:paraId="54120C4A" w14:textId="77777777" w:rsidR="00E927B1" w:rsidRDefault="00E927B1"/>
  </w:footnote>
  <w:footnote w:id="2">
    <w:p w14:paraId="7E8AA15B" w14:textId="77777777" w:rsidR="000D6F0D" w:rsidRDefault="000D6F0D" w:rsidP="000D6F0D">
      <w:pPr>
        <w:jc w:val="both"/>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hyperlink r:id="rId1">
        <w:r>
          <w:rPr>
            <w:rFonts w:ascii="Roboto" w:eastAsia="Roboto" w:hAnsi="Roboto" w:cs="Roboto"/>
            <w:color w:val="0B57D0"/>
            <w:sz w:val="21"/>
            <w:szCs w:val="21"/>
            <w:u w:val="single"/>
          </w:rPr>
          <w:t>https://www.efama.org/</w:t>
        </w:r>
      </w:hyperlink>
    </w:p>
  </w:footnote>
  <w:footnote w:id="3">
    <w:p w14:paraId="275D1805" w14:textId="77777777" w:rsidR="000D6F0D" w:rsidRDefault="000D6F0D" w:rsidP="000D6F0D">
      <w:pPr>
        <w:jc w:val="both"/>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hyperlink r:id="rId2">
        <w:r>
          <w:rPr>
            <w:rFonts w:ascii="Roboto" w:eastAsia="Roboto" w:hAnsi="Roboto" w:cs="Roboto"/>
            <w:color w:val="0B57D0"/>
            <w:sz w:val="21"/>
            <w:szCs w:val="21"/>
            <w:u w:val="single"/>
          </w:rPr>
          <w:t>https://www.efama.org/</w:t>
        </w:r>
      </w:hyperlink>
    </w:p>
  </w:footnote>
  <w:footnote w:id="4">
    <w:p w14:paraId="396F4A50" w14:textId="77777777" w:rsidR="000D6F0D" w:rsidRDefault="000D6F0D" w:rsidP="000D6F0D">
      <w:pPr>
        <w:jc w:val="both"/>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hyperlink r:id="rId3">
        <w:r>
          <w:rPr>
            <w:rFonts w:ascii="Roboto" w:eastAsia="Roboto" w:hAnsi="Roboto" w:cs="Roboto"/>
            <w:color w:val="0B57D0"/>
            <w:sz w:val="21"/>
            <w:szCs w:val="21"/>
            <w:u w:val="single"/>
          </w:rPr>
          <w:t>https://my.itsa.global/</w:t>
        </w:r>
      </w:hyperlink>
    </w:p>
  </w:footnote>
  <w:footnote w:id="5">
    <w:p w14:paraId="5BFFBDDE" w14:textId="77777777" w:rsidR="000D6F0D" w:rsidRDefault="000D6F0D" w:rsidP="000D6F0D">
      <w:pPr>
        <w:jc w:val="both"/>
        <w:rPr>
          <w:rFonts w:ascii="Roboto" w:eastAsia="Roboto" w:hAnsi="Roboto" w:cs="Roboto"/>
          <w:sz w:val="20"/>
          <w:szCs w:val="20"/>
        </w:rPr>
      </w:pPr>
      <w:r>
        <w:rPr>
          <w:vertAlign w:val="superscript"/>
        </w:rPr>
        <w:footnoteRef/>
      </w:r>
      <w:r>
        <w:rPr>
          <w:rFonts w:ascii="Roboto" w:eastAsia="Roboto" w:hAnsi="Roboto" w:cs="Roboto"/>
          <w:sz w:val="20"/>
          <w:szCs w:val="20"/>
        </w:rPr>
        <w:t xml:space="preserve"> ESMA’s PoC: </w:t>
      </w:r>
      <w:hyperlink r:id="rId4">
        <w:r>
          <w:rPr>
            <w:rFonts w:ascii="Roboto" w:eastAsia="Roboto" w:hAnsi="Roboto" w:cs="Roboto"/>
            <w:color w:val="1155CC"/>
            <w:sz w:val="20"/>
            <w:szCs w:val="20"/>
            <w:u w:val="single"/>
          </w:rPr>
          <w:t>iXBRL report for the MiCA taxonomy</w:t>
        </w:r>
      </w:hyperlink>
      <w:r>
        <w:rPr>
          <w:rFonts w:ascii="Roboto" w:eastAsia="Roboto" w:hAnsi="Roboto" w:cs="Roboto"/>
          <w:sz w:val="20"/>
          <w:szCs w:val="20"/>
        </w:rPr>
        <w:t>.</w:t>
      </w:r>
    </w:p>
  </w:footnote>
  <w:footnote w:id="6">
    <w:p w14:paraId="7D23D57F" w14:textId="77777777" w:rsidR="000D6F0D" w:rsidRDefault="000D6F0D" w:rsidP="000D6F0D">
      <w:pPr>
        <w:jc w:val="both"/>
        <w:rPr>
          <w:rFonts w:ascii="Roboto" w:eastAsia="Roboto" w:hAnsi="Roboto" w:cs="Roboto"/>
          <w:sz w:val="20"/>
          <w:szCs w:val="20"/>
        </w:rPr>
      </w:pPr>
      <w:r>
        <w:rPr>
          <w:vertAlign w:val="superscript"/>
        </w:rPr>
        <w:footnoteRef/>
      </w:r>
      <w:r>
        <w:rPr>
          <w:rFonts w:ascii="Roboto" w:eastAsia="Roboto" w:hAnsi="Roboto" w:cs="Roboto"/>
          <w:sz w:val="20"/>
          <w:szCs w:val="20"/>
        </w:rPr>
        <w:t xml:space="preserve"> Feedback Statement on the Consultation Paper on the Regulatory Technical Standard on the European Single Electronic Format (ESEF), </w:t>
      </w:r>
      <w:hyperlink r:id="rId5">
        <w:r>
          <w:rPr>
            <w:rFonts w:ascii="Roboto" w:eastAsia="Roboto" w:hAnsi="Roboto" w:cs="Roboto"/>
            <w:color w:val="1155CC"/>
            <w:sz w:val="20"/>
            <w:szCs w:val="20"/>
            <w:u w:val="single"/>
          </w:rPr>
          <w:t>MergedFile (europa.eu)</w:t>
        </w:r>
      </w:hyperlink>
      <w:r>
        <w:rPr>
          <w:rFonts w:ascii="Roboto" w:eastAsia="Roboto" w:hAnsi="Roboto" w:cs="Roboto"/>
          <w:sz w:val="20"/>
          <w:szCs w:val="20"/>
        </w:rPr>
        <w:t>, page 96.</w:t>
      </w:r>
    </w:p>
    <w:p w14:paraId="62C25FE5" w14:textId="77777777" w:rsidR="000D6F0D" w:rsidRDefault="000D6F0D" w:rsidP="000D6F0D">
      <w:pPr>
        <w:jc w:val="both"/>
        <w:rPr>
          <w:rFonts w:ascii="Roboto" w:eastAsia="Roboto" w:hAnsi="Roboto" w:cs="Roboto"/>
          <w:sz w:val="20"/>
          <w:szCs w:val="20"/>
        </w:rPr>
      </w:pPr>
    </w:p>
  </w:footnote>
  <w:footnote w:id="7">
    <w:p w14:paraId="5C3F1E62" w14:textId="77777777" w:rsidR="000D6F0D" w:rsidRDefault="000D6F0D" w:rsidP="000D6F0D">
      <w:pPr>
        <w:jc w:val="both"/>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hyperlink r:id="rId6" w:anchor="overview">
        <w:r>
          <w:rPr>
            <w:rFonts w:ascii="Roboto" w:eastAsia="Roboto" w:hAnsi="Roboto" w:cs="Roboto"/>
            <w:color w:val="0B57D0"/>
            <w:sz w:val="21"/>
            <w:szCs w:val="21"/>
            <w:u w:val="single"/>
          </w:rPr>
          <w:t>https://www.similarweb.com</w:t>
        </w:r>
      </w:hyperlink>
      <w:r>
        <w:rPr>
          <w:rFonts w:ascii="Roboto" w:eastAsia="Roboto" w:hAnsi="Roboto" w:cs="Roboto"/>
          <w:sz w:val="20"/>
          <w:szCs w:val="20"/>
        </w:rPr>
        <w:t xml:space="preserve"> (14.12.2023)</w:t>
      </w:r>
    </w:p>
  </w:footnote>
  <w:footnote w:id="8">
    <w:p w14:paraId="7C7D6CF7" w14:textId="77777777" w:rsidR="000D6F0D" w:rsidRDefault="000D6F0D" w:rsidP="000D6F0D">
      <w:pPr>
        <w:jc w:val="both"/>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hyperlink r:id="rId7">
        <w:r>
          <w:rPr>
            <w:rFonts w:ascii="Roboto" w:eastAsia="Roboto" w:hAnsi="Roboto" w:cs="Roboto"/>
            <w:color w:val="1155CC"/>
            <w:sz w:val="20"/>
            <w:szCs w:val="20"/>
            <w:u w:val="single"/>
          </w:rPr>
          <w:t>https://www.semrush.com/website/defillama.com/overview/</w:t>
        </w:r>
      </w:hyperlink>
      <w:r>
        <w:rPr>
          <w:rFonts w:ascii="Roboto" w:eastAsia="Roboto" w:hAnsi="Roboto" w:cs="Roboto"/>
          <w:sz w:val="20"/>
          <w:szCs w:val="20"/>
        </w:rPr>
        <w:t xml:space="preserve">  (14.12.2023)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Glava"/>
    </w:pPr>
  </w:p>
  <w:p w14:paraId="59FA3C9D" w14:textId="77777777" w:rsidR="00E36813" w:rsidRDefault="00E3681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Glava"/>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Glava"/>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Glava"/>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Glava"/>
      <w:jc w:val="right"/>
      <w:rPr>
        <w:rFonts w:asciiTheme="minorHAnsi" w:hAnsiTheme="minorHAnsi" w:cstheme="minorHAnsi"/>
        <w:color w:val="2F5496" w:themeColor="accent5" w:themeShade="BF"/>
        <w:sz w:val="20"/>
      </w:rPr>
    </w:pPr>
  </w:p>
  <w:p w14:paraId="3E983FE8" w14:textId="71D87355" w:rsidR="00FA64BE" w:rsidRDefault="00FA64BE" w:rsidP="00FA64BE">
    <w:pPr>
      <w:pStyle w:val="Glava"/>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Glava"/>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Glava"/>
      <w:jc w:val="right"/>
      <w:rPr>
        <w:color w:val="2F5496" w:themeColor="accent5" w:themeShade="BF"/>
        <w:sz w:val="20"/>
      </w:rPr>
    </w:pPr>
  </w:p>
  <w:p w14:paraId="5EAB6EC6" w14:textId="77777777" w:rsidR="00E36813" w:rsidRPr="00B50534" w:rsidRDefault="00E36813" w:rsidP="00B50534">
    <w:pPr>
      <w:pStyle w:val="Glava"/>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Naslov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Odstavekseznam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Naslov1"/>
      <w:lvlText w:val="%1."/>
      <w:lvlJc w:val="righ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D6F0D"/>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3AEF"/>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2D96"/>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2F44"/>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7B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085"/>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Naslov1">
    <w:name w:val="heading 1"/>
    <w:basedOn w:val="Navaden"/>
    <w:next w:val="Navaden"/>
    <w:link w:val="Naslov1Znak"/>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Naslov2">
    <w:name w:val="heading 2"/>
    <w:basedOn w:val="Navaden"/>
    <w:next w:val="Navaden"/>
    <w:link w:val="Naslov2Znak"/>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Naslov3">
    <w:name w:val="heading 3"/>
    <w:basedOn w:val="Navaden"/>
    <w:next w:val="Navaden"/>
    <w:link w:val="Naslov3Znak"/>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Naslov4">
    <w:name w:val="heading 4"/>
    <w:basedOn w:val="Navaden"/>
    <w:next w:val="Navaden"/>
    <w:link w:val="Naslov4Znak"/>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Naslov5">
    <w:name w:val="heading 5"/>
    <w:basedOn w:val="Navaden"/>
    <w:next w:val="Navaden"/>
    <w:link w:val="Naslov5Znak"/>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Naslov6">
    <w:name w:val="heading 6"/>
    <w:basedOn w:val="Navaden"/>
    <w:next w:val="Navaden"/>
    <w:link w:val="Naslov6Znak"/>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Naslov7">
    <w:name w:val="heading 7"/>
    <w:basedOn w:val="Navaden"/>
    <w:next w:val="Navaden"/>
    <w:link w:val="Naslov7Znak"/>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Naslov8">
    <w:name w:val="heading 8"/>
    <w:basedOn w:val="Navaden"/>
    <w:next w:val="Navaden"/>
    <w:link w:val="Naslov8Znak"/>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Naslov9">
    <w:name w:val="heading 9"/>
    <w:basedOn w:val="Navaden"/>
    <w:next w:val="Navaden"/>
    <w:link w:val="Naslov9Znak"/>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5B6B12"/>
    <w:pPr>
      <w:spacing w:after="0" w:line="240" w:lineRule="auto"/>
    </w:pPr>
    <w:rPr>
      <w:lang w:val="en-GB"/>
    </w:rPr>
  </w:style>
  <w:style w:type="character" w:customStyle="1" w:styleId="Naslov4Znak">
    <w:name w:val="Naslov 4 Znak"/>
    <w:basedOn w:val="Privzetapisavaodstavka"/>
    <w:link w:val="Naslov4"/>
    <w:rsid w:val="00020300"/>
    <w:rPr>
      <w:rFonts w:asciiTheme="majorHAnsi" w:eastAsiaTheme="majorEastAsia" w:hAnsiTheme="majorHAnsi" w:cstheme="majorBidi"/>
      <w:sz w:val="24"/>
      <w:szCs w:val="22"/>
      <w:lang w:val="en-GB" w:eastAsia="en-GB"/>
    </w:rPr>
  </w:style>
  <w:style w:type="character" w:customStyle="1" w:styleId="Naslov3Znak">
    <w:name w:val="Naslov 3 Znak"/>
    <w:basedOn w:val="Privzetapisavaodstavka"/>
    <w:link w:val="Naslov3"/>
    <w:rsid w:val="00020300"/>
    <w:rPr>
      <w:rFonts w:asciiTheme="majorHAnsi" w:eastAsiaTheme="majorEastAsia" w:hAnsiTheme="majorHAnsi" w:cstheme="majorBidi"/>
      <w:sz w:val="24"/>
      <w:szCs w:val="24"/>
      <w:lang w:val="en-GB" w:eastAsia="en-GB"/>
    </w:rPr>
  </w:style>
  <w:style w:type="character" w:customStyle="1" w:styleId="Naslov1Znak">
    <w:name w:val="Naslov 1 Znak"/>
    <w:basedOn w:val="Privzetapisavaodstavka"/>
    <w:link w:val="Naslov1"/>
    <w:rsid w:val="00FE0BD8"/>
    <w:rPr>
      <w:rFonts w:asciiTheme="majorHAnsi" w:eastAsiaTheme="majorEastAsia" w:hAnsiTheme="majorHAnsi" w:cstheme="majorBidi"/>
      <w:b/>
      <w:sz w:val="32"/>
      <w:szCs w:val="32"/>
      <w:lang w:val="en-GB" w:eastAsia="en-GB"/>
    </w:rPr>
  </w:style>
  <w:style w:type="character" w:customStyle="1" w:styleId="Naslov2Znak">
    <w:name w:val="Naslov 2 Znak"/>
    <w:basedOn w:val="Privzetapisavaodstavka"/>
    <w:link w:val="Naslov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avaden"/>
    <w:link w:val="Subtitle1Char"/>
    <w:autoRedefine/>
    <w:rsid w:val="003C4EB5"/>
    <w:pPr>
      <w:tabs>
        <w:tab w:val="left" w:pos="414"/>
      </w:tabs>
    </w:pPr>
    <w:rPr>
      <w:b/>
    </w:rPr>
  </w:style>
  <w:style w:type="character" w:customStyle="1" w:styleId="Subtitle1Char">
    <w:name w:val="Subtitle1 Char"/>
    <w:basedOn w:val="Privzetapisavaodstavka"/>
    <w:link w:val="Subtitle1"/>
    <w:rsid w:val="003C4EB5"/>
    <w:rPr>
      <w:rFonts w:cs="Times New Roman"/>
      <w:b/>
      <w:sz w:val="20"/>
      <w:szCs w:val="24"/>
      <w:lang w:val="en-GB" w:eastAsia="de-DE"/>
    </w:rPr>
  </w:style>
  <w:style w:type="paragraph" w:customStyle="1" w:styleId="Title1">
    <w:name w:val="Title 1"/>
    <w:basedOn w:val="Odstavekseznama"/>
    <w:link w:val="Title1Char"/>
    <w:autoRedefine/>
    <w:rsid w:val="002574D1"/>
    <w:pPr>
      <w:numPr>
        <w:numId w:val="2"/>
      </w:numPr>
    </w:pPr>
    <w:rPr>
      <w:b/>
      <w:sz w:val="28"/>
    </w:rPr>
  </w:style>
  <w:style w:type="character" w:customStyle="1" w:styleId="Title1Char">
    <w:name w:val="Title 1 Char"/>
    <w:basedOn w:val="Privzetapisavaodstavka"/>
    <w:link w:val="Title1"/>
    <w:rsid w:val="003C4EB5"/>
    <w:rPr>
      <w:rFonts w:eastAsiaTheme="majorEastAsia" w:cstheme="minorHAnsi"/>
      <w:b/>
      <w:sz w:val="28"/>
      <w:szCs w:val="22"/>
      <w:lang w:val="en-GB" w:eastAsia="en-GB"/>
    </w:rPr>
  </w:style>
  <w:style w:type="paragraph" w:styleId="Odstavekseznama">
    <w:name w:val="List Paragraph"/>
    <w:aliases w:val="Paragraphe EI,Paragraphe de liste1,EC,Paragraphe de liste,Normal Nivel 1,List Paragraph Main,List first level,List Paragraph_Sections"/>
    <w:basedOn w:val="Navaden"/>
    <w:link w:val="OdstavekseznamaZnak"/>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Odstavekseznama"/>
    <w:link w:val="Title3Char"/>
    <w:autoRedefine/>
    <w:rsid w:val="002574D1"/>
    <w:pPr>
      <w:numPr>
        <w:ilvl w:val="3"/>
        <w:numId w:val="2"/>
      </w:numPr>
    </w:pPr>
  </w:style>
  <w:style w:type="character" w:customStyle="1" w:styleId="Title3Char">
    <w:name w:val="Title 3 Char"/>
    <w:basedOn w:val="Privzetapisavaodstavka"/>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avaden"/>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rivzetapisavaodstavka"/>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avaden"/>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rivzetapisavaodstavka"/>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avaden"/>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rivzetapisavaodstavka"/>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avaden"/>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rivzetapisavaodstavka"/>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avaden"/>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rivzetapisavaodstavka"/>
    <w:link w:val="Introductionheading"/>
    <w:rsid w:val="00044C5A"/>
    <w:rPr>
      <w:rFonts w:ascii="Arial" w:eastAsia="Times New Roman" w:hAnsi="Arial" w:cs="Times New Roman"/>
      <w:b/>
      <w:sz w:val="28"/>
      <w:szCs w:val="24"/>
      <w:lang w:val="en-GB" w:eastAsia="de-DE"/>
    </w:rPr>
  </w:style>
  <w:style w:type="character" w:customStyle="1" w:styleId="Naslov5Znak">
    <w:name w:val="Naslov 5 Znak"/>
    <w:basedOn w:val="Privzetapisavaodstavka"/>
    <w:link w:val="Naslov5"/>
    <w:uiPriority w:val="9"/>
    <w:rsid w:val="007E7997"/>
    <w:rPr>
      <w:rFonts w:asciiTheme="majorHAnsi" w:eastAsiaTheme="majorEastAsia" w:hAnsiTheme="majorHAnsi" w:cstheme="majorBidi"/>
      <w:sz w:val="24"/>
      <w:szCs w:val="22"/>
      <w:lang w:val="en-GB" w:eastAsia="en-GB"/>
    </w:rPr>
  </w:style>
  <w:style w:type="paragraph" w:styleId="Telobesedila">
    <w:name w:val="Body Text"/>
    <w:basedOn w:val="Navaden"/>
    <w:link w:val="TelobesedilaZnak"/>
    <w:uiPriority w:val="99"/>
    <w:semiHidden/>
    <w:unhideWhenUsed/>
    <w:rsid w:val="00044C5A"/>
  </w:style>
  <w:style w:type="character" w:customStyle="1" w:styleId="TelobesedilaZnak">
    <w:name w:val="Telo besedila Znak"/>
    <w:basedOn w:val="Privzetapisavaodstavka"/>
    <w:link w:val="Telobesedila"/>
    <w:uiPriority w:val="99"/>
    <w:semiHidden/>
    <w:rsid w:val="00044C5A"/>
    <w:rPr>
      <w:rFonts w:ascii="Arial" w:eastAsiaTheme="minorEastAsia" w:hAnsi="Arial"/>
    </w:rPr>
  </w:style>
  <w:style w:type="paragraph" w:styleId="Telobesedila-prvizamik">
    <w:name w:val="Body Text First Indent"/>
    <w:basedOn w:val="Telobesedila"/>
    <w:link w:val="Telobesedila-prvizamikZnak"/>
    <w:uiPriority w:val="99"/>
    <w:semiHidden/>
    <w:unhideWhenUsed/>
    <w:rsid w:val="00044C5A"/>
    <w:pPr>
      <w:ind w:firstLine="360"/>
    </w:pPr>
  </w:style>
  <w:style w:type="character" w:customStyle="1" w:styleId="Telobesedila-prvizamikZnak">
    <w:name w:val="Telo besedila - prvi zamik Znak"/>
    <w:basedOn w:val="TelobesedilaZnak"/>
    <w:link w:val="Telobesedila-prvizamik"/>
    <w:uiPriority w:val="99"/>
    <w:semiHidden/>
    <w:rsid w:val="00044C5A"/>
    <w:rPr>
      <w:rFonts w:ascii="Arial" w:eastAsiaTheme="minorEastAsia" w:hAnsi="Arial"/>
    </w:rPr>
  </w:style>
  <w:style w:type="character" w:customStyle="1" w:styleId="Naslov6Znak">
    <w:name w:val="Naslov 6 Znak"/>
    <w:basedOn w:val="Privzetapisavaodstavka"/>
    <w:link w:val="Naslov6"/>
    <w:rsid w:val="00AA054E"/>
    <w:rPr>
      <w:rFonts w:asciiTheme="majorHAnsi" w:eastAsiaTheme="majorEastAsia" w:hAnsiTheme="majorHAnsi" w:cstheme="majorBidi"/>
      <w:i/>
      <w:iCs/>
      <w:color w:val="44546A" w:themeColor="text2"/>
      <w:sz w:val="21"/>
      <w:szCs w:val="21"/>
      <w:lang w:val="en-GB" w:eastAsia="en-GB"/>
    </w:rPr>
  </w:style>
  <w:style w:type="paragraph" w:styleId="Naslov">
    <w:name w:val="Title"/>
    <w:basedOn w:val="Navaden"/>
    <w:next w:val="Navaden"/>
    <w:link w:val="NaslovZnak"/>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NaslovZnak">
    <w:name w:val="Naslov Znak"/>
    <w:basedOn w:val="Privzetapisavaodstavka"/>
    <w:link w:val="Naslov"/>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Podnaslov">
    <w:name w:val="Subtitle"/>
    <w:basedOn w:val="Navaden"/>
    <w:next w:val="Navaden"/>
    <w:link w:val="PodnaslovZnak"/>
    <w:uiPriority w:val="11"/>
    <w:qFormat/>
    <w:rsid w:val="00366D42"/>
    <w:pPr>
      <w:numPr>
        <w:ilvl w:val="1"/>
      </w:numPr>
    </w:pPr>
    <w:rPr>
      <w:rFonts w:asciiTheme="majorHAnsi" w:eastAsiaTheme="majorEastAsia" w:hAnsiTheme="majorHAnsi" w:cstheme="majorBidi"/>
      <w:b/>
      <w:sz w:val="28"/>
    </w:rPr>
  </w:style>
  <w:style w:type="character" w:customStyle="1" w:styleId="PodnaslovZnak">
    <w:name w:val="Podnaslov Znak"/>
    <w:basedOn w:val="Privzetapisavaodstavka"/>
    <w:link w:val="Podnaslov"/>
    <w:uiPriority w:val="11"/>
    <w:rsid w:val="00366D42"/>
    <w:rPr>
      <w:rFonts w:asciiTheme="majorHAnsi" w:eastAsiaTheme="majorEastAsia" w:hAnsiTheme="majorHAnsi" w:cstheme="majorBidi"/>
      <w:b/>
      <w:sz w:val="28"/>
      <w:szCs w:val="24"/>
      <w:lang w:val="en-GB"/>
    </w:rPr>
  </w:style>
  <w:style w:type="character" w:customStyle="1" w:styleId="Naslov7Znak">
    <w:name w:val="Naslov 7 Znak"/>
    <w:basedOn w:val="Privzetapisavaodstavka"/>
    <w:link w:val="Naslov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Naslov8Znak">
    <w:name w:val="Naslov 8 Znak"/>
    <w:basedOn w:val="Privzetapisavaodstavka"/>
    <w:link w:val="Naslov8"/>
    <w:rsid w:val="00AA054E"/>
    <w:rPr>
      <w:rFonts w:asciiTheme="majorHAnsi" w:eastAsiaTheme="majorEastAsia" w:hAnsiTheme="majorHAnsi" w:cstheme="majorBidi"/>
      <w:b/>
      <w:bCs/>
      <w:color w:val="44546A" w:themeColor="text2"/>
      <w:sz w:val="24"/>
      <w:szCs w:val="24"/>
      <w:lang w:val="en-GB" w:eastAsia="en-GB"/>
    </w:rPr>
  </w:style>
  <w:style w:type="character" w:customStyle="1" w:styleId="Naslov9Znak">
    <w:name w:val="Naslov 9 Znak"/>
    <w:basedOn w:val="Privzetapisavaodstavka"/>
    <w:link w:val="Naslov9"/>
    <w:rsid w:val="00AA054E"/>
    <w:rPr>
      <w:rFonts w:asciiTheme="majorHAnsi" w:eastAsiaTheme="majorEastAsia" w:hAnsiTheme="majorHAnsi" w:cstheme="majorBidi"/>
      <w:b/>
      <w:bCs/>
      <w:i/>
      <w:iCs/>
      <w:color w:val="44546A" w:themeColor="text2"/>
      <w:sz w:val="24"/>
      <w:szCs w:val="24"/>
      <w:lang w:val="en-GB" w:eastAsia="en-GB"/>
    </w:rPr>
  </w:style>
  <w:style w:type="paragraph" w:styleId="Napis">
    <w:name w:val="caption"/>
    <w:basedOn w:val="Navaden"/>
    <w:next w:val="Navaden"/>
    <w:uiPriority w:val="35"/>
    <w:semiHidden/>
    <w:unhideWhenUsed/>
    <w:qFormat/>
    <w:rsid w:val="00AA054E"/>
    <w:rPr>
      <w:b/>
      <w:bCs/>
      <w:smallCaps/>
      <w:color w:val="595959" w:themeColor="text1" w:themeTint="A6"/>
      <w:spacing w:val="6"/>
    </w:rPr>
  </w:style>
  <w:style w:type="character" w:styleId="Krepko">
    <w:name w:val="Strong"/>
    <w:basedOn w:val="Privzetapisavaodstavka"/>
    <w:uiPriority w:val="22"/>
    <w:qFormat/>
    <w:rsid w:val="00AA054E"/>
    <w:rPr>
      <w:b/>
      <w:bCs/>
    </w:rPr>
  </w:style>
  <w:style w:type="character" w:styleId="Poudarek">
    <w:name w:val="Emphasis"/>
    <w:basedOn w:val="Privzetapisavaodstavka"/>
    <w:uiPriority w:val="20"/>
    <w:qFormat/>
    <w:rsid w:val="00AA054E"/>
    <w:rPr>
      <w:i/>
      <w:iCs/>
    </w:rPr>
  </w:style>
  <w:style w:type="paragraph" w:styleId="Citat">
    <w:name w:val="Quote"/>
    <w:basedOn w:val="Navaden"/>
    <w:next w:val="Navaden"/>
    <w:link w:val="CitatZnak"/>
    <w:uiPriority w:val="29"/>
    <w:qFormat/>
    <w:rsid w:val="00AA054E"/>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AA054E"/>
    <w:rPr>
      <w:i/>
      <w:iCs/>
      <w:color w:val="404040" w:themeColor="text1" w:themeTint="BF"/>
    </w:rPr>
  </w:style>
  <w:style w:type="paragraph" w:styleId="Intenzivencitat">
    <w:name w:val="Intense Quote"/>
    <w:basedOn w:val="Navaden"/>
    <w:next w:val="Navaden"/>
    <w:link w:val="IntenzivencitatZnak"/>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zivencitatZnak">
    <w:name w:val="Intenziven citat Znak"/>
    <w:basedOn w:val="Privzetapisavaodstavka"/>
    <w:link w:val="Intenzivencitat"/>
    <w:uiPriority w:val="30"/>
    <w:rsid w:val="00AA054E"/>
    <w:rPr>
      <w:rFonts w:asciiTheme="majorHAnsi" w:eastAsiaTheme="majorEastAsia" w:hAnsiTheme="majorHAnsi" w:cstheme="majorBidi"/>
      <w:color w:val="5B9BD5" w:themeColor="accent1"/>
      <w:sz w:val="28"/>
      <w:szCs w:val="28"/>
    </w:rPr>
  </w:style>
  <w:style w:type="character" w:styleId="Neenpoudarek">
    <w:name w:val="Subtle Emphasis"/>
    <w:aliases w:val="Text,Emphase pâle,Diskret betoning"/>
    <w:basedOn w:val="Privzetapisavaodstavka"/>
    <w:uiPriority w:val="19"/>
    <w:qFormat/>
    <w:rsid w:val="00287C8F"/>
    <w:rPr>
      <w:rFonts w:asciiTheme="majorHAnsi" w:hAnsiTheme="majorHAnsi"/>
      <w:i/>
      <w:iCs/>
      <w:color w:val="auto"/>
      <w:sz w:val="22"/>
    </w:rPr>
  </w:style>
  <w:style w:type="character" w:styleId="Intenzivenpoudarek">
    <w:name w:val="Intense Emphasis"/>
    <w:basedOn w:val="Privzetapisavaodstavka"/>
    <w:uiPriority w:val="21"/>
    <w:qFormat/>
    <w:rsid w:val="00AA054E"/>
    <w:rPr>
      <w:b/>
      <w:bCs/>
      <w:i/>
      <w:iCs/>
    </w:rPr>
  </w:style>
  <w:style w:type="character" w:styleId="Neensklic">
    <w:name w:val="Subtle Reference"/>
    <w:basedOn w:val="Privzetapisavaodstavka"/>
    <w:uiPriority w:val="31"/>
    <w:qFormat/>
    <w:rsid w:val="00AA054E"/>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AA054E"/>
    <w:rPr>
      <w:b/>
      <w:bCs/>
      <w:smallCaps/>
      <w:spacing w:val="5"/>
      <w:u w:val="single"/>
    </w:rPr>
  </w:style>
  <w:style w:type="character" w:styleId="Naslovknjige">
    <w:name w:val="Book Title"/>
    <w:basedOn w:val="Privzetapisavaodstavka"/>
    <w:uiPriority w:val="33"/>
    <w:qFormat/>
    <w:rsid w:val="00AA054E"/>
    <w:rPr>
      <w:b/>
      <w:bCs/>
      <w:smallCaps/>
    </w:rPr>
  </w:style>
  <w:style w:type="paragraph" w:styleId="NaslovTOC">
    <w:name w:val="TOC Heading"/>
    <w:basedOn w:val="Naslov1"/>
    <w:next w:val="Navaden"/>
    <w:uiPriority w:val="39"/>
    <w:unhideWhenUsed/>
    <w:qFormat/>
    <w:rsid w:val="00AA054E"/>
    <w:pPr>
      <w:outlineLvl w:val="9"/>
    </w:pPr>
  </w:style>
  <w:style w:type="character" w:customStyle="1" w:styleId="BrezrazmikovZnak">
    <w:name w:val="Brez razmikov Znak"/>
    <w:basedOn w:val="Privzetapisavaodstavka"/>
    <w:link w:val="Brezrazmikov"/>
    <w:uiPriority w:val="1"/>
    <w:rsid w:val="005B6B12"/>
    <w:rPr>
      <w:lang w:val="en-GB"/>
    </w:rPr>
  </w:style>
  <w:style w:type="paragraph" w:styleId="Glava">
    <w:name w:val="header"/>
    <w:basedOn w:val="Navaden"/>
    <w:link w:val="GlavaZnak"/>
    <w:unhideWhenUsed/>
    <w:qFormat/>
    <w:rsid w:val="007E7997"/>
    <w:pPr>
      <w:tabs>
        <w:tab w:val="center" w:pos="4536"/>
        <w:tab w:val="right" w:pos="9072"/>
      </w:tabs>
    </w:pPr>
  </w:style>
  <w:style w:type="character" w:customStyle="1" w:styleId="GlavaZnak">
    <w:name w:val="Glava Znak"/>
    <w:basedOn w:val="Privzetapisavaodstavka"/>
    <w:link w:val="Glava"/>
    <w:rsid w:val="007E7997"/>
    <w:rPr>
      <w:sz w:val="22"/>
    </w:rPr>
  </w:style>
  <w:style w:type="paragraph" w:styleId="Noga">
    <w:name w:val="footer"/>
    <w:basedOn w:val="Navaden"/>
    <w:link w:val="NogaZnak"/>
    <w:uiPriority w:val="99"/>
    <w:unhideWhenUsed/>
    <w:rsid w:val="007E7997"/>
    <w:pPr>
      <w:tabs>
        <w:tab w:val="center" w:pos="4536"/>
        <w:tab w:val="right" w:pos="9072"/>
      </w:tabs>
    </w:pPr>
  </w:style>
  <w:style w:type="character" w:customStyle="1" w:styleId="NogaZnak">
    <w:name w:val="Noga Znak"/>
    <w:basedOn w:val="Privzetapisavaodstavka"/>
    <w:link w:val="Noga"/>
    <w:uiPriority w:val="99"/>
    <w:rsid w:val="007E7997"/>
    <w:rPr>
      <w:sz w:val="22"/>
    </w:rPr>
  </w:style>
  <w:style w:type="paragraph" w:customStyle="1" w:styleId="00aPagenumber">
    <w:name w:val="00a_Page number"/>
    <w:basedOn w:val="Navaden"/>
    <w:rsid w:val="007E7997"/>
    <w:pPr>
      <w:spacing w:line="280" w:lineRule="atLeast"/>
      <w:jc w:val="right"/>
    </w:pPr>
    <w:rPr>
      <w:rFonts w:ascii="Georgia" w:hAnsi="Georgia"/>
      <w:color w:val="000000"/>
      <w:lang w:eastAsia="de-DE"/>
    </w:rPr>
  </w:style>
  <w:style w:type="paragraph" w:customStyle="1" w:styleId="02Date">
    <w:name w:val="02_Date"/>
    <w:basedOn w:val="Navaden"/>
    <w:rsid w:val="00636E02"/>
    <w:pPr>
      <w:spacing w:line="220" w:lineRule="exact"/>
    </w:pPr>
    <w:rPr>
      <w:rFonts w:ascii="Georgia" w:hAnsi="Georgia"/>
      <w:sz w:val="17"/>
      <w:lang w:eastAsia="de-DE"/>
    </w:rPr>
  </w:style>
  <w:style w:type="paragraph" w:styleId="Kazalovsebine1">
    <w:name w:val="toc 1"/>
    <w:basedOn w:val="Navaden"/>
    <w:next w:val="Navaden"/>
    <w:autoRedefine/>
    <w:uiPriority w:val="39"/>
    <w:unhideWhenUsed/>
    <w:rsid w:val="00B81A44"/>
    <w:pPr>
      <w:tabs>
        <w:tab w:val="left" w:pos="440"/>
        <w:tab w:val="right" w:leader="dot" w:pos="9062"/>
      </w:tabs>
      <w:spacing w:after="100"/>
    </w:pPr>
  </w:style>
  <w:style w:type="paragraph" w:styleId="Kazalovsebine2">
    <w:name w:val="toc 2"/>
    <w:basedOn w:val="Navaden"/>
    <w:next w:val="Navaden"/>
    <w:autoRedefine/>
    <w:uiPriority w:val="39"/>
    <w:unhideWhenUsed/>
    <w:rsid w:val="00BC422A"/>
    <w:pPr>
      <w:spacing w:after="100"/>
      <w:ind w:left="220"/>
    </w:pPr>
  </w:style>
  <w:style w:type="paragraph" w:styleId="Kazalovsebine3">
    <w:name w:val="toc 3"/>
    <w:basedOn w:val="Navaden"/>
    <w:next w:val="Navaden"/>
    <w:autoRedefine/>
    <w:uiPriority w:val="39"/>
    <w:unhideWhenUsed/>
    <w:rsid w:val="00BC422A"/>
    <w:pPr>
      <w:spacing w:after="100"/>
      <w:ind w:left="440"/>
    </w:pPr>
  </w:style>
  <w:style w:type="character" w:styleId="Hiperpovezava">
    <w:name w:val="Hyperlink"/>
    <w:basedOn w:val="Privzetapisavaodstavka"/>
    <w:uiPriority w:val="99"/>
    <w:unhideWhenUsed/>
    <w:rsid w:val="00BC422A"/>
    <w:rPr>
      <w:color w:val="0563C1" w:themeColor="hyperlink"/>
      <w:u w:val="single"/>
    </w:rPr>
  </w:style>
  <w:style w:type="paragraph" w:customStyle="1" w:styleId="Questionstyle">
    <w:name w:val="Question style"/>
    <w:basedOn w:val="Navaden"/>
    <w:next w:val="Navaden"/>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Privzetapisavaodstavka"/>
    <w:link w:val="Questionstyle"/>
    <w:rsid w:val="00871163"/>
    <w:rPr>
      <w:rFonts w:eastAsia="Times New Roman" w:cstheme="minorHAnsi"/>
      <w:b/>
      <w:bCs/>
      <w:sz w:val="22"/>
      <w:szCs w:val="22"/>
      <w:lang w:val="en-GB" w:eastAsia="en-GB"/>
    </w:rPr>
  </w:style>
  <w:style w:type="paragraph" w:customStyle="1" w:styleId="Listing2">
    <w:name w:val="Listing2"/>
    <w:basedOn w:val="Navaden"/>
    <w:link w:val="Listing2Char"/>
    <w:autoRedefine/>
    <w:rsid w:val="00DF3785"/>
  </w:style>
  <w:style w:type="character" w:customStyle="1" w:styleId="Listing2Char">
    <w:name w:val="Listing2 Char"/>
    <w:basedOn w:val="Privzetapisavaodstavka"/>
    <w:link w:val="Listing2"/>
    <w:rsid w:val="00DF3785"/>
    <w:rPr>
      <w:lang w:val="en-GB"/>
    </w:rPr>
  </w:style>
  <w:style w:type="table" w:styleId="Tabelamrea">
    <w:name w:val="Table Grid"/>
    <w:basedOn w:val="Navadnatabela"/>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B50534"/>
  </w:style>
  <w:style w:type="character" w:customStyle="1" w:styleId="Konnaopomba-besediloZnak">
    <w:name w:val="Končna opomba - besedilo Znak"/>
    <w:basedOn w:val="Privzetapisavaodstavka"/>
    <w:link w:val="Konnaopomba-besedilo"/>
    <w:uiPriority w:val="99"/>
    <w:semiHidden/>
    <w:rsid w:val="00B50534"/>
    <w:rPr>
      <w:lang w:val="en-GB"/>
    </w:rPr>
  </w:style>
  <w:style w:type="character" w:styleId="Konnaopomba-sklic">
    <w:name w:val="endnote reference"/>
    <w:basedOn w:val="Privzetapisavaodstavka"/>
    <w:uiPriority w:val="99"/>
    <w:semiHidden/>
    <w:unhideWhenUsed/>
    <w:rsid w:val="00B50534"/>
    <w:rPr>
      <w:vertAlign w:val="superscript"/>
    </w:rPr>
  </w:style>
  <w:style w:type="paragraph" w:styleId="Sprotnaopomba-besedilo">
    <w:name w:val="footnote text"/>
    <w:basedOn w:val="Navaden"/>
    <w:link w:val="Sprotnaopomba-besediloZnak"/>
    <w:autoRedefine/>
    <w:uiPriority w:val="99"/>
    <w:semiHidden/>
    <w:unhideWhenUsed/>
    <w:qFormat/>
    <w:rsid w:val="006F53E8"/>
    <w:rPr>
      <w:sz w:val="16"/>
    </w:rPr>
  </w:style>
  <w:style w:type="character" w:customStyle="1" w:styleId="Sprotnaopomba-besediloZnak">
    <w:name w:val="Sprotna opomba - besedilo Znak"/>
    <w:basedOn w:val="Privzetapisavaodstavka"/>
    <w:link w:val="Sprotnaopomba-besedilo"/>
    <w:uiPriority w:val="99"/>
    <w:semiHidden/>
    <w:rsid w:val="006F53E8"/>
    <w:rPr>
      <w:sz w:val="16"/>
      <w:lang w:val="en-GB"/>
    </w:rPr>
  </w:style>
  <w:style w:type="character" w:styleId="Sprotnaopomba-sklic">
    <w:name w:val="footnote reference"/>
    <w:aliases w:val="SUPERS,Footnote reference number,Footnote symbol,note TESI,-E Fußnotenzeichen,number,BVI fnr,Footnote Reference Superscript,(Footnote Reference),EN Footnote Reference,Voetnootverwijzing,Times 10 Point,Exposant 3 Poi,16 Point"/>
    <w:basedOn w:val="Privzetapisavaodstavka"/>
    <w:uiPriority w:val="99"/>
    <w:unhideWhenUsed/>
    <w:qFormat/>
    <w:rsid w:val="00A91D91"/>
    <w:rPr>
      <w:rFonts w:asciiTheme="majorHAnsi" w:hAnsiTheme="majorHAnsi"/>
      <w:sz w:val="16"/>
      <w:vertAlign w:val="superscript"/>
    </w:rPr>
  </w:style>
  <w:style w:type="paragraph" w:customStyle="1" w:styleId="Footnote">
    <w:name w:val="Footnote"/>
    <w:basedOn w:val="Sprotnaopomba-besedilo"/>
    <w:link w:val="FootnoteChar"/>
    <w:rsid w:val="00B50534"/>
    <w:rPr>
      <w:lang w:val="nl-BE"/>
    </w:rPr>
  </w:style>
  <w:style w:type="character" w:customStyle="1" w:styleId="FootnoteChar">
    <w:name w:val="Footnote Char"/>
    <w:basedOn w:val="Sprotnaopomba-besediloZnak"/>
    <w:link w:val="Footnote"/>
    <w:rsid w:val="00B50534"/>
    <w:rPr>
      <w:sz w:val="16"/>
      <w:lang w:val="en-GB"/>
    </w:rPr>
  </w:style>
  <w:style w:type="table" w:customStyle="1" w:styleId="GridTable4-Accent11">
    <w:name w:val="Grid Table 4 - Accent 11"/>
    <w:basedOn w:val="Navadnatabela"/>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avaden"/>
    <w:rsid w:val="00287C8F"/>
    <w:pPr>
      <w:numPr>
        <w:numId w:val="5"/>
      </w:numPr>
      <w:tabs>
        <w:tab w:val="clear" w:pos="284"/>
        <w:tab w:val="num" w:pos="567"/>
      </w:tabs>
      <w:ind w:left="567" w:hanging="454"/>
    </w:pPr>
    <w:rPr>
      <w:rFonts w:ascii="Georgia" w:hAnsi="Georgia"/>
      <w:sz w:val="20"/>
      <w:lang w:eastAsia="de-DE"/>
    </w:rPr>
  </w:style>
  <w:style w:type="paragraph" w:styleId="Besedilooblaka">
    <w:name w:val="Balloon Text"/>
    <w:basedOn w:val="Navaden"/>
    <w:link w:val="BesedilooblakaZnak"/>
    <w:uiPriority w:val="99"/>
    <w:semiHidden/>
    <w:unhideWhenUsed/>
    <w:rsid w:val="003C167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167E"/>
    <w:rPr>
      <w:rFonts w:ascii="Tahoma" w:hAnsi="Tahoma" w:cs="Tahoma"/>
      <w:sz w:val="16"/>
      <w:szCs w:val="16"/>
      <w:lang w:val="en-GB"/>
    </w:rPr>
  </w:style>
  <w:style w:type="character" w:styleId="Pripombasklic">
    <w:name w:val="annotation reference"/>
    <w:basedOn w:val="Privzetapisavaodstavka"/>
    <w:uiPriority w:val="99"/>
    <w:semiHidden/>
    <w:unhideWhenUsed/>
    <w:rsid w:val="00FA2400"/>
    <w:rPr>
      <w:sz w:val="16"/>
      <w:szCs w:val="16"/>
    </w:rPr>
  </w:style>
  <w:style w:type="paragraph" w:styleId="Pripombabesedilo">
    <w:name w:val="annotation text"/>
    <w:basedOn w:val="Navaden"/>
    <w:link w:val="PripombabesediloZnak"/>
    <w:uiPriority w:val="99"/>
    <w:unhideWhenUsed/>
    <w:rsid w:val="00FA2400"/>
    <w:rPr>
      <w:sz w:val="20"/>
    </w:rPr>
  </w:style>
  <w:style w:type="character" w:customStyle="1" w:styleId="PripombabesediloZnak">
    <w:name w:val="Pripomba – besedilo Znak"/>
    <w:basedOn w:val="Privzetapisavaodstavka"/>
    <w:link w:val="Pripombabesedilo"/>
    <w:uiPriority w:val="99"/>
    <w:rsid w:val="00FA2400"/>
    <w:rPr>
      <w:lang w:val="en-GB"/>
    </w:rPr>
  </w:style>
  <w:style w:type="paragraph" w:styleId="Zadevapripombe">
    <w:name w:val="annotation subject"/>
    <w:basedOn w:val="Pripombabesedilo"/>
    <w:next w:val="Pripombabesedilo"/>
    <w:link w:val="ZadevapripombeZnak"/>
    <w:uiPriority w:val="99"/>
    <w:semiHidden/>
    <w:unhideWhenUsed/>
    <w:rsid w:val="00FA2400"/>
    <w:rPr>
      <w:b/>
      <w:bCs/>
    </w:rPr>
  </w:style>
  <w:style w:type="character" w:customStyle="1" w:styleId="ZadevapripombeZnak">
    <w:name w:val="Zadeva pripombe Znak"/>
    <w:basedOn w:val="PripombabesediloZnak"/>
    <w:link w:val="Zadevapripombe"/>
    <w:uiPriority w:val="99"/>
    <w:semiHidden/>
    <w:rsid w:val="00FA2400"/>
    <w:rPr>
      <w:b/>
      <w:bCs/>
      <w:lang w:val="en-GB"/>
    </w:rPr>
  </w:style>
  <w:style w:type="paragraph" w:styleId="Revizija">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SledenaHiperpovezava">
    <w:name w:val="FollowedHyperlink"/>
    <w:basedOn w:val="Privzetapisavaodstavka"/>
    <w:uiPriority w:val="99"/>
    <w:semiHidden/>
    <w:unhideWhenUsed/>
    <w:rsid w:val="007B354B"/>
    <w:rPr>
      <w:color w:val="954F72" w:themeColor="followedHyperlink"/>
      <w:u w:val="single"/>
    </w:rPr>
  </w:style>
  <w:style w:type="paragraph" w:styleId="Navadensplet">
    <w:name w:val="Normal (Web)"/>
    <w:basedOn w:val="Navaden"/>
    <w:uiPriority w:val="99"/>
    <w:semiHidden/>
    <w:unhideWhenUsed/>
    <w:rsid w:val="00B424F5"/>
    <w:pPr>
      <w:spacing w:before="100" w:beforeAutospacing="1" w:after="100" w:afterAutospacing="1"/>
    </w:pPr>
  </w:style>
  <w:style w:type="character" w:customStyle="1" w:styleId="outputecliaff">
    <w:name w:val="outputecliaff"/>
    <w:basedOn w:val="Privzetapisavaodstavka"/>
    <w:rsid w:val="00595F08"/>
  </w:style>
  <w:style w:type="paragraph" w:customStyle="1" w:styleId="05HeadlinenoIndex">
    <w:name w:val="05_Headline no Index"/>
    <w:basedOn w:val="Navaden"/>
    <w:rsid w:val="005C7E1F"/>
    <w:pPr>
      <w:spacing w:after="250" w:line="300" w:lineRule="exact"/>
      <w:jc w:val="both"/>
    </w:pPr>
    <w:rPr>
      <w:rFonts w:ascii="Georgia" w:hAnsi="Georgia"/>
      <w:b/>
      <w:lang w:eastAsia="de-DE"/>
    </w:rPr>
  </w:style>
  <w:style w:type="paragraph" w:customStyle="1" w:styleId="04BodyText">
    <w:name w:val="04_Body Text"/>
    <w:basedOn w:val="Navaden"/>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avadnatabela"/>
    <w:next w:val="Tabelamre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next w:val="Tabelamre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Paragraphe EI Znak,Paragraphe de liste1 Znak,EC Znak,Paragraphe de liste Znak,Normal Nivel 1 Znak,List Paragraph Main Znak,List first level Znak,List Paragraph_Sections Znak"/>
    <w:basedOn w:val="Privzetapisavaodstavka"/>
    <w:link w:val="Odstavekseznama"/>
    <w:uiPriority w:val="34"/>
    <w:rsid w:val="00695AF2"/>
    <w:rPr>
      <w:rFonts w:eastAsiaTheme="majorEastAsia" w:cstheme="minorHAnsi"/>
      <w:sz w:val="22"/>
      <w:szCs w:val="22"/>
      <w:lang w:val="en-GB" w:eastAsia="en-GB"/>
    </w:rPr>
  </w:style>
  <w:style w:type="table" w:customStyle="1" w:styleId="TableGrid3">
    <w:name w:val="Table Grid3"/>
    <w:basedOn w:val="Navadnatabela"/>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avadnatabela"/>
    <w:next w:val="Tabelamre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Krepko"/>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80552823">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89138736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72293949">
      <w:bodyDiv w:val="1"/>
      <w:marLeft w:val="0"/>
      <w:marRight w:val="0"/>
      <w:marTop w:val="0"/>
      <w:marBottom w:val="0"/>
      <w:divBdr>
        <w:top w:val="none" w:sz="0" w:space="0" w:color="auto"/>
        <w:left w:val="none" w:sz="0" w:space="0" w:color="auto"/>
        <w:bottom w:val="none" w:sz="0" w:space="0" w:color="auto"/>
        <w:right w:val="none" w:sz="0" w:space="0" w:color="auto"/>
      </w:divBdr>
    </w:div>
    <w:div w:id="167826456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y.itsa.global/" TargetMode="External"/><Relationship Id="rId7" Type="http://schemas.openxmlformats.org/officeDocument/2006/relationships/hyperlink" Target="https://www.semrush.com/website/defillama.com/overview/" TargetMode="External"/><Relationship Id="rId2" Type="http://schemas.openxmlformats.org/officeDocument/2006/relationships/hyperlink" Target="https://www.efama.org/" TargetMode="External"/><Relationship Id="rId1" Type="http://schemas.openxmlformats.org/officeDocument/2006/relationships/hyperlink" Target="https://www.efama.org/" TargetMode="External"/><Relationship Id="rId6" Type="http://schemas.openxmlformats.org/officeDocument/2006/relationships/hyperlink" Target="https://www.similarweb.com/website/bankless.com/" TargetMode="External"/><Relationship Id="rId5" Type="http://schemas.openxmlformats.org/officeDocument/2006/relationships/hyperlink" Target="https://www.esma.europa.eu/sites/default/files/library/2016-1668_esma_feedback_statement_on_the_rts_on_esef_0.pdf" TargetMode="External"/><Relationship Id="rId4" Type="http://schemas.openxmlformats.org/officeDocument/2006/relationships/hyperlink" Target="https://www.esma.europa.eu/sites/default/files/library/2016-1668_esma_feedback_statement_on_the_rts_on_esef_0.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93</TotalTime>
  <Pages>28</Pages>
  <Words>8764</Words>
  <Characters>51184</Characters>
  <Application>Microsoft Office Word</Application>
  <DocSecurity>8</DocSecurity>
  <Lines>1066</Lines>
  <Paragraphs>457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59491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Maletić, Nikša</cp:lastModifiedBy>
  <cp:revision>4</cp:revision>
  <cp:lastPrinted>2017-07-24T14:47:00Z</cp:lastPrinted>
  <dcterms:created xsi:type="dcterms:W3CDTF">2023-12-14T18:09:00Z</dcterms:created>
  <dcterms:modified xsi:type="dcterms:W3CDTF">2023-12-14T19:46:00Z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