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ottotitolo"/>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ottotitolo"/>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aragrafoelenco"/>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Paragrafoelenco"/>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Paragrafoelenco"/>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Paragrafoelenco"/>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Paragrafoelenco"/>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Paragrafoelenco"/>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Paragrafoelenco"/>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Collegamentoipertestuale"/>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Collegamentoipertestuale"/>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Collegamentoipertestuale"/>
          <w:sz w:val="20"/>
          <w:szCs w:val="18"/>
        </w:rPr>
        <w:t>‘</w:t>
      </w:r>
      <w:hyperlink r:id="rId23" w:history="1">
        <w:r w:rsidRPr="00AF763D">
          <w:rPr>
            <w:rStyle w:val="Collegamentoipertestuale"/>
            <w:sz w:val="20"/>
            <w:szCs w:val="18"/>
          </w:rPr>
          <w:t>Data protection</w:t>
        </w:r>
      </w:hyperlink>
      <w:r w:rsidRPr="00AF763D">
        <w:rPr>
          <w:rStyle w:val="Collegamentoipertestuale"/>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itolo1"/>
        <w:rPr>
          <w:sz w:val="24"/>
          <w:szCs w:val="24"/>
        </w:rPr>
      </w:pPr>
      <w:bookmarkStart w:id="7" w:name="_Hlk124776172"/>
      <w:r w:rsidRPr="00AF763D">
        <w:rPr>
          <w:sz w:val="24"/>
          <w:szCs w:val="24"/>
        </w:rPr>
        <w:lastRenderedPageBreak/>
        <w:t>General information about respondent</w:t>
      </w:r>
    </w:p>
    <w:tbl>
      <w:tblPr>
        <w:tblStyle w:val="Grigliatabella"/>
        <w:tblW w:w="0" w:type="auto"/>
        <w:tblLook w:val="04A0" w:firstRow="1" w:lastRow="0" w:firstColumn="1" w:lastColumn="0" w:noHBand="0" w:noVBand="1"/>
      </w:tblPr>
      <w:tblGrid>
        <w:gridCol w:w="2405"/>
        <w:gridCol w:w="425"/>
        <w:gridCol w:w="1864"/>
        <w:gridCol w:w="416"/>
        <w:gridCol w:w="4292"/>
      </w:tblGrid>
      <w:tr w:rsidR="0030108F" w:rsidRPr="00E052D6"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stosegnaposto"/>
              <w:sz w:val="20"/>
              <w:szCs w:val="18"/>
              <w:lang w:val="fr-FR"/>
            </w:rPr>
            <w:id w:val="-179280767"/>
            <w:text/>
          </w:sdtPr>
          <w:sdtContent>
            <w:tc>
              <w:tcPr>
                <w:tcW w:w="6997" w:type="dxa"/>
                <w:gridSpan w:val="4"/>
              </w:tcPr>
              <w:p w14:paraId="0D7893C6" w14:textId="67906D05" w:rsidR="0030108F" w:rsidRPr="00E052D6" w:rsidRDefault="00E052D6" w:rsidP="008A50BE">
                <w:pPr>
                  <w:spacing w:after="120"/>
                  <w:rPr>
                    <w:sz w:val="20"/>
                    <w:szCs w:val="18"/>
                    <w:lang w:val="fr-FR"/>
                  </w:rPr>
                </w:pPr>
                <w:r w:rsidRPr="00E052D6">
                  <w:rPr>
                    <w:rStyle w:val="Testosegnaposto"/>
                    <w:sz w:val="20"/>
                    <w:szCs w:val="18"/>
                    <w:lang w:val="fr-FR"/>
                  </w:rPr>
                  <w:t>Fédération Européenne des Conseils et Intermédiaires Financiers</w:t>
                </w:r>
                <w:r w:rsidRPr="00E052D6">
                  <w:rPr>
                    <w:rStyle w:val="Testosegnaposto"/>
                    <w:sz w:val="20"/>
                    <w:szCs w:val="18"/>
                    <w:lang w:val="fr-FR"/>
                  </w:rPr>
                  <w:t xml:space="preserve"> (</w:t>
                </w:r>
                <w:r>
                  <w:rPr>
                    <w:rStyle w:val="Testosegnaposto"/>
                    <w:sz w:val="20"/>
                    <w:szCs w:val="18"/>
                    <w:lang w:val="fr-FR"/>
                  </w:rPr>
                  <w:t>FECIF)</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38494197" w:rsidR="00DE432B" w:rsidRDefault="00E052D6"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08D5497F" w:rsidR="00DE432B" w:rsidRDefault="00E052D6" w:rsidP="008A50BE">
                <w:pPr>
                  <w:spacing w:after="120"/>
                  <w:rPr>
                    <w:sz w:val="20"/>
                    <w:szCs w:val="18"/>
                  </w:rPr>
                </w:pPr>
                <w:r>
                  <w:rPr>
                    <w:sz w:val="20"/>
                    <w:szCs w:val="18"/>
                  </w:rPr>
                  <w:t>Belgium</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stosegnaposto"/>
                <w:sz w:val="20"/>
                <w:szCs w:val="18"/>
              </w:rPr>
              <w:id w:val="733121204"/>
              <w:showingPlcHdr/>
              <w:text/>
            </w:sdtPr>
            <w:sdtContent>
              <w:p w14:paraId="18F8042D" w14:textId="438BFE55" w:rsidR="00A10F6D" w:rsidRDefault="008A50BE" w:rsidP="008A50BE">
                <w:pPr>
                  <w:spacing w:after="120"/>
                  <w:rPr>
                    <w:sz w:val="20"/>
                    <w:szCs w:val="18"/>
                  </w:rPr>
                </w:pPr>
                <w:r w:rsidRPr="00AF763D">
                  <w:rPr>
                    <w:rStyle w:val="Testosegnaposto"/>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Content>
            <w:tc>
              <w:tcPr>
                <w:tcW w:w="425" w:type="dxa"/>
                <w:vMerge w:val="restart"/>
              </w:tcPr>
              <w:p w14:paraId="39A245A0" w14:textId="0A903436" w:rsidR="008203B2" w:rsidRDefault="00E052D6"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1"/>
              <w14:checkedState w14:val="2612" w14:font="MS Gothic"/>
              <w14:uncheckedState w14:val="2610" w14:font="MS Gothic"/>
            </w14:checkbox>
          </w:sdtPr>
          <w:sdtContent>
            <w:tc>
              <w:tcPr>
                <w:tcW w:w="416" w:type="dxa"/>
              </w:tcPr>
              <w:p w14:paraId="070DFE9B" w14:textId="18091E9D" w:rsidR="00A10F6D" w:rsidRDefault="00E052D6" w:rsidP="008A50BE">
                <w:pPr>
                  <w:spacing w:after="120"/>
                  <w:rPr>
                    <w:sz w:val="20"/>
                    <w:szCs w:val="18"/>
                  </w:rPr>
                </w:pPr>
                <w:r>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stosegnaposto"/>
                <w:sz w:val="20"/>
                <w:szCs w:val="18"/>
              </w:rPr>
              <w:id w:val="321700705"/>
              <w:text/>
            </w:sdtPr>
            <w:sdtContent>
              <w:p w14:paraId="5F0E3DF4" w14:textId="6586B5A0" w:rsidR="00A10F6D" w:rsidRDefault="00E052D6" w:rsidP="0092723C">
                <w:pPr>
                  <w:spacing w:after="120"/>
                  <w:rPr>
                    <w:sz w:val="20"/>
                    <w:szCs w:val="18"/>
                  </w:rPr>
                </w:pPr>
                <w:r>
                  <w:rPr>
                    <w:rStyle w:val="Testosegnaposto"/>
                    <w:sz w:val="20"/>
                    <w:szCs w:val="18"/>
                  </w:rPr>
                  <w:t>Financial advisor</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Testosegnaposto"/>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Testosegnaposto"/>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itolo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72E49EC7" w14:textId="77777777" w:rsidR="00E052D6" w:rsidRPr="00E052D6" w:rsidRDefault="00E052D6" w:rsidP="00E052D6">
      <w:pPr>
        <w:numPr>
          <w:ilvl w:val="0"/>
          <w:numId w:val="46"/>
        </w:numPr>
        <w:spacing w:after="0"/>
        <w:rPr>
          <w:sz w:val="20"/>
          <w:szCs w:val="18"/>
        </w:rPr>
      </w:pPr>
      <w:r w:rsidRPr="00E052D6">
        <w:rPr>
          <w:b/>
          <w:bCs/>
          <w:sz w:val="20"/>
          <w:szCs w:val="18"/>
        </w:rPr>
        <w:t>Phased Approach:</w:t>
      </w:r>
      <w:r w:rsidRPr="00E052D6">
        <w:rPr>
          <w:sz w:val="20"/>
          <w:szCs w:val="18"/>
        </w:rPr>
        <w:t> We support the phased implementation strategy as it allows entities sufficient time to adapt. However, it is crucial that this framework remains flexible to accommodate unforeseen challenges and does not impose undue financial burdens on SMEs.</w:t>
      </w:r>
    </w:p>
    <w:p w14:paraId="47AC2F5B" w14:textId="77777777" w:rsidR="00E052D6" w:rsidRPr="00E052D6" w:rsidRDefault="00E052D6" w:rsidP="00E052D6">
      <w:pPr>
        <w:numPr>
          <w:ilvl w:val="0"/>
          <w:numId w:val="46"/>
        </w:numPr>
        <w:spacing w:after="0"/>
        <w:rPr>
          <w:sz w:val="20"/>
          <w:szCs w:val="18"/>
        </w:rPr>
      </w:pPr>
      <w:r w:rsidRPr="00E052D6">
        <w:rPr>
          <w:b/>
          <w:bCs/>
          <w:sz w:val="20"/>
          <w:szCs w:val="18"/>
        </w:rPr>
        <w:t>Timeline and Guidance:</w:t>
      </w:r>
      <w:r w:rsidRPr="00E052D6">
        <w:rPr>
          <w:sz w:val="20"/>
          <w:szCs w:val="18"/>
        </w:rPr>
        <w:t> The alignment with the financial year based on the publication date in the Official Journal is pragmatic. We recommend that ESMA provides clear guidance and support during this transition, particularly for SMEs with limited resources.</w:t>
      </w:r>
    </w:p>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6599BDDC" w14:textId="77777777" w:rsidR="00E052D6" w:rsidRPr="00E052D6" w:rsidRDefault="00E052D6" w:rsidP="00E052D6">
      <w:pPr>
        <w:numPr>
          <w:ilvl w:val="0"/>
          <w:numId w:val="46"/>
        </w:numPr>
        <w:spacing w:after="0"/>
        <w:rPr>
          <w:sz w:val="20"/>
          <w:szCs w:val="18"/>
        </w:rPr>
      </w:pPr>
      <w:r w:rsidRPr="00E052D6">
        <w:rPr>
          <w:b/>
          <w:bCs/>
          <w:sz w:val="20"/>
          <w:szCs w:val="18"/>
        </w:rPr>
        <w:t>Phased Approach:</w:t>
      </w:r>
      <w:r w:rsidRPr="00E052D6">
        <w:rPr>
          <w:sz w:val="20"/>
          <w:szCs w:val="18"/>
        </w:rPr>
        <w:t> We support the phased implementation strategy as it allows entities sufficient time to adapt. However, it is crucial that this framework remains flexible to accommodate unforeseen challenges and does not impose undue financial burdens on SMEs.</w:t>
      </w:r>
    </w:p>
    <w:p w14:paraId="5615A0D3" w14:textId="77777777" w:rsidR="00E052D6" w:rsidRPr="00E052D6" w:rsidRDefault="00E052D6" w:rsidP="00E052D6">
      <w:pPr>
        <w:numPr>
          <w:ilvl w:val="0"/>
          <w:numId w:val="46"/>
        </w:numPr>
        <w:spacing w:after="0"/>
        <w:rPr>
          <w:sz w:val="20"/>
          <w:szCs w:val="18"/>
        </w:rPr>
      </w:pPr>
      <w:r w:rsidRPr="00E052D6">
        <w:rPr>
          <w:b/>
          <w:bCs/>
          <w:sz w:val="20"/>
          <w:szCs w:val="18"/>
        </w:rPr>
        <w:t>Timeline and Guidance:</w:t>
      </w:r>
      <w:r w:rsidRPr="00E052D6">
        <w:rPr>
          <w:sz w:val="20"/>
          <w:szCs w:val="18"/>
        </w:rPr>
        <w:t> The alignment with the financial year based on the publication date in the Official Journal is pragmatic. We recommend that ESMA provides clear guidance and support during this transition, particularly for SMEs with limited resources.</w:t>
      </w:r>
    </w:p>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693F7E20" w14:textId="5F9822B9" w:rsidR="007D4F05" w:rsidRPr="00AF763D" w:rsidRDefault="00E052D6" w:rsidP="007D4F05">
      <w:pPr>
        <w:spacing w:after="0"/>
        <w:rPr>
          <w:sz w:val="20"/>
          <w:szCs w:val="18"/>
        </w:rPr>
      </w:pPr>
      <w:r w:rsidRPr="00E052D6">
        <w:rPr>
          <w:sz w:val="20"/>
          <w:szCs w:val="18"/>
        </w:rPr>
        <w:t>Implementing a staggered approach based on the size and nature of undertakings is beneficial. Larger entities typically have more resources to comply with new regulations, whereas smaller entities might struggle with the same timelines. A staggered approach will promote more effective and equitable implementation.</w:t>
      </w:r>
      <w:r w:rsidR="007D4F05"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7E026CF2" w14:textId="6EBF4C18" w:rsidR="007D4F05" w:rsidRPr="00AF763D" w:rsidRDefault="00E052D6" w:rsidP="007D4F05">
      <w:pPr>
        <w:spacing w:after="0"/>
        <w:rPr>
          <w:sz w:val="20"/>
          <w:szCs w:val="18"/>
        </w:rPr>
      </w:pPr>
      <w:r w:rsidRPr="00E052D6">
        <w:rPr>
          <w:sz w:val="20"/>
          <w:szCs w:val="18"/>
        </w:rPr>
        <w:t>We suggest that ESMA continuously engages with stakeholders throughout the implementation process to gather feedback and make necessary adjustments. This iterative approach will ensure that the marking up process remains practical and does not become overly burdensome.</w:t>
      </w:r>
      <w:r w:rsidR="007D4F05"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lastRenderedPageBreak/>
        <w:br/>
      </w:r>
      <w:r w:rsidRPr="00AF763D">
        <w:rPr>
          <w:sz w:val="20"/>
          <w:szCs w:val="18"/>
        </w:rPr>
        <w:t>&lt;ESMA_QUESTION_ESEFEEAP_05&gt;</w:t>
      </w:r>
    </w:p>
    <w:p w14:paraId="2D551CB6" w14:textId="404AFCCD" w:rsidR="007D4F05" w:rsidRPr="00AF763D" w:rsidRDefault="00E052D6" w:rsidP="007D4F05">
      <w:pPr>
        <w:spacing w:after="0"/>
        <w:rPr>
          <w:sz w:val="20"/>
          <w:szCs w:val="18"/>
        </w:rPr>
      </w:pPr>
      <w:r w:rsidRPr="00E052D6">
        <w:rPr>
          <w:sz w:val="20"/>
          <w:szCs w:val="18"/>
        </w:rPr>
        <w:t>Establishing a clear timeline and content for each phase is essential for effective planning and resource allocation. Clarity from the outset will facilitate smoother transitions and compliance. However, we recommend incorporating flexibility within these timelines to accommodate unforeseen challenges and providing mechanisms for extensions if justified.</w:t>
      </w:r>
      <w:r w:rsidR="007D4F05"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6942F842" w14:textId="77777777" w:rsidR="00E052D6" w:rsidRPr="00E052D6" w:rsidRDefault="00E052D6" w:rsidP="00E052D6">
      <w:pPr>
        <w:numPr>
          <w:ilvl w:val="0"/>
          <w:numId w:val="47"/>
        </w:numPr>
        <w:spacing w:after="0"/>
        <w:rPr>
          <w:sz w:val="20"/>
          <w:szCs w:val="18"/>
        </w:rPr>
      </w:pPr>
      <w:r w:rsidRPr="00E052D6">
        <w:rPr>
          <w:b/>
          <w:bCs/>
          <w:sz w:val="20"/>
          <w:szCs w:val="18"/>
        </w:rPr>
        <w:t>Limiting Extension Taxonomy Elements:</w:t>
      </w:r>
      <w:r w:rsidRPr="00E052D6">
        <w:rPr>
          <w:sz w:val="20"/>
          <w:szCs w:val="18"/>
        </w:rPr>
        <w:t> While limiting the creation of extension taxonomy elements can enhance comparability and consistency, it is crucial to ensure that this limitation does not hinder entities from accurately representing their unique sustainability information. Provisions should allow for necessary extensions where standard taxonomy elements are insufficient.</w:t>
      </w:r>
    </w:p>
    <w:p w14:paraId="493AEB52" w14:textId="77777777" w:rsidR="00E052D6" w:rsidRPr="00E052D6" w:rsidRDefault="00E052D6" w:rsidP="00E052D6">
      <w:pPr>
        <w:numPr>
          <w:ilvl w:val="0"/>
          <w:numId w:val="47"/>
        </w:numPr>
        <w:spacing w:after="0"/>
        <w:rPr>
          <w:sz w:val="20"/>
          <w:szCs w:val="18"/>
        </w:rPr>
      </w:pPr>
      <w:r w:rsidRPr="00E052D6">
        <w:rPr>
          <w:b/>
          <w:bCs/>
          <w:sz w:val="20"/>
          <w:szCs w:val="18"/>
        </w:rPr>
        <w:t>Closed Taxonomy:</w:t>
      </w:r>
      <w:r w:rsidRPr="00E052D6">
        <w:rPr>
          <w:sz w:val="20"/>
          <w:szCs w:val="18"/>
        </w:rPr>
        <w:t> A closed taxonomy should be the standard, but there should be a clear and straightforward process for entities to apply for approved extensions when necessary.</w:t>
      </w:r>
    </w:p>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3888423A" w14:textId="1C32D2E7" w:rsidR="007D4F05" w:rsidRPr="00AF763D" w:rsidRDefault="00E052D6" w:rsidP="007D4F05">
      <w:pPr>
        <w:spacing w:after="0"/>
        <w:rPr>
          <w:sz w:val="20"/>
          <w:szCs w:val="18"/>
        </w:rPr>
      </w:pPr>
      <w:r w:rsidRPr="00E052D6">
        <w:rPr>
          <w:sz w:val="20"/>
          <w:szCs w:val="18"/>
        </w:rPr>
        <w:t>Including a review clause is prudent, allowing for periodic assessment and adaptation of the RTS in response to evolving market conditions and stakeholder needs. This ensures that the standards remain relevant and effective over time. Given the evolving nature of sustainability standards, a commitment to reassess based on actual market feedback is essential.</w:t>
      </w:r>
      <w:r w:rsidR="007D4F05"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2D3662A7" w14:textId="77777777" w:rsidR="00E052D6" w:rsidRPr="00E052D6" w:rsidRDefault="00E052D6" w:rsidP="00E052D6">
      <w:pPr>
        <w:numPr>
          <w:ilvl w:val="0"/>
          <w:numId w:val="47"/>
        </w:numPr>
        <w:spacing w:after="0"/>
        <w:rPr>
          <w:sz w:val="20"/>
          <w:szCs w:val="18"/>
        </w:rPr>
      </w:pPr>
      <w:r w:rsidRPr="00E052D6">
        <w:rPr>
          <w:b/>
          <w:bCs/>
          <w:sz w:val="20"/>
          <w:szCs w:val="18"/>
        </w:rPr>
        <w:t>Limiting Extension Taxonomy Elements:</w:t>
      </w:r>
      <w:r w:rsidRPr="00E052D6">
        <w:rPr>
          <w:sz w:val="20"/>
          <w:szCs w:val="18"/>
        </w:rPr>
        <w:t> While limiting the creation of extension taxonomy elements can enhance comparability and consistency, it is crucial to ensure that this limitation does not hinder entities from accurately representing their unique sustainability information. Provisions should allow for necessary extensions where standard taxonomy elements are insufficient.</w:t>
      </w:r>
    </w:p>
    <w:p w14:paraId="1A736258" w14:textId="77777777" w:rsidR="00E052D6" w:rsidRPr="00E052D6" w:rsidRDefault="00E052D6" w:rsidP="00E052D6">
      <w:pPr>
        <w:numPr>
          <w:ilvl w:val="0"/>
          <w:numId w:val="47"/>
        </w:numPr>
        <w:spacing w:after="0"/>
        <w:rPr>
          <w:sz w:val="20"/>
          <w:szCs w:val="18"/>
        </w:rPr>
      </w:pPr>
      <w:r w:rsidRPr="00E052D6">
        <w:rPr>
          <w:b/>
          <w:bCs/>
          <w:sz w:val="20"/>
          <w:szCs w:val="18"/>
        </w:rPr>
        <w:t>Closed Taxonomy:</w:t>
      </w:r>
      <w:r w:rsidRPr="00E052D6">
        <w:rPr>
          <w:sz w:val="20"/>
          <w:szCs w:val="18"/>
        </w:rPr>
        <w:t> A closed taxonomy should be the standard, but there should be a clear and straightforward process for entities to apply for approved extensions when necessary.</w:t>
      </w:r>
    </w:p>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lastRenderedPageBreak/>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367FB160" w14:textId="4615EC2B" w:rsidR="006A64ED" w:rsidRPr="00AF763D" w:rsidRDefault="00E052D6" w:rsidP="006A64ED">
      <w:pPr>
        <w:spacing w:after="0"/>
        <w:rPr>
          <w:sz w:val="20"/>
          <w:szCs w:val="18"/>
        </w:rPr>
      </w:pPr>
      <w:r w:rsidRPr="00E052D6">
        <w:rPr>
          <w:sz w:val="20"/>
          <w:szCs w:val="18"/>
        </w:rPr>
        <w:t>Including a review clause is prudent, allowing for periodic assessment and adaptation of the RTS in response to evolving market conditions and stakeholder needs. This ensures that the standards remain relevant and effective over time. Given the evolving nature of sustainability standards, a commitment to reassess based on actual market feedback is essential.</w:t>
      </w:r>
      <w:r w:rsidR="006A64ED"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CB1953F" w14:textId="39F4081D" w:rsidR="006A64ED" w:rsidRPr="00AF763D" w:rsidRDefault="00E052D6" w:rsidP="006A64ED">
      <w:pPr>
        <w:spacing w:after="0"/>
        <w:rPr>
          <w:sz w:val="20"/>
          <w:szCs w:val="18"/>
        </w:rPr>
      </w:pPr>
      <w:r w:rsidRPr="00E052D6">
        <w:rPr>
          <w:sz w:val="20"/>
          <w:szCs w:val="18"/>
        </w:rPr>
        <w:t>We agree with the principle of leveraging existing EFRAG taxonomies for consistency and efficiency. However, close coordination between EFRAG and ESMA is critical to avoid duplication and ensure that taxonomies are fully interoperable with ESEF systems and understandable to end-users. Using EFRAG taxonomies "as-is" could reduce complexity, but this must be accompanied by thorough guidance and cross-reference documentation.</w:t>
      </w:r>
      <w:r w:rsidR="006A64ED"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365EB89D" w14:textId="15DC86C6" w:rsidR="006A64ED" w:rsidRPr="00AF763D" w:rsidRDefault="00E052D6" w:rsidP="006A64ED">
      <w:pPr>
        <w:spacing w:after="0"/>
        <w:rPr>
          <w:sz w:val="20"/>
          <w:szCs w:val="18"/>
        </w:rPr>
      </w:pPr>
      <w:r w:rsidRPr="00E052D6">
        <w:rPr>
          <w:sz w:val="20"/>
          <w:szCs w:val="18"/>
        </w:rPr>
        <w:t>We agree with the principle of leveraging existing EFRAG taxonomies for consistency and efficiency. However, close coordination between EFRAG and ESMA is critical to avoid duplication and ensure that taxonomies are fully interoperable with ESEF systems and understandable to end-users. Using EFRAG taxonomies "as-is" could reduce complexity, but this must be accompanied by thorough guidance and cross-reference documentation.</w:t>
      </w:r>
      <w:r w:rsidR="006A64ED"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632E68BA" w14:textId="60116DBC" w:rsidR="006A64ED" w:rsidRPr="00AF763D" w:rsidRDefault="00E052D6" w:rsidP="006A64ED">
      <w:pPr>
        <w:spacing w:after="0"/>
        <w:rPr>
          <w:sz w:val="20"/>
          <w:szCs w:val="18"/>
        </w:rPr>
      </w:pPr>
      <w:r w:rsidRPr="00E052D6">
        <w:rPr>
          <w:sz w:val="20"/>
          <w:szCs w:val="18"/>
        </w:rPr>
        <w:t xml:space="preserve">We recommend simplified tools, templates, and automated validation systems for small firms. A "light" version of the taxonomy or tagging toolkits tailored for SMEs and financial advisers could increase adoption </w:t>
      </w:r>
      <w:r w:rsidRPr="00E052D6">
        <w:rPr>
          <w:sz w:val="20"/>
          <w:szCs w:val="18"/>
        </w:rPr>
        <w:lastRenderedPageBreak/>
        <w:t>and reduce technical costs. ESMA could also consider issuing technical FAQs and peer examples in the early years of implementation.</w:t>
      </w:r>
      <w:r w:rsidR="006A64ED"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lastRenderedPageBreak/>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5D7389A7" w14:textId="1E60BA37" w:rsidR="00AF763D" w:rsidRPr="00AF763D" w:rsidRDefault="00E052D6" w:rsidP="00AF763D">
      <w:pPr>
        <w:spacing w:after="0"/>
        <w:rPr>
          <w:sz w:val="20"/>
          <w:szCs w:val="18"/>
        </w:rPr>
      </w:pPr>
      <w:r w:rsidRPr="00E052D6">
        <w:rPr>
          <w:sz w:val="20"/>
          <w:szCs w:val="18"/>
        </w:rPr>
        <w:t>We believe that ESMA underestimates the total implementation cost for smaller reporting entities. The average cost of €4–€10k per markup can represent a significant expense, particularly for firms using external service providers. We encourage a more granular breakdown and inclusion of one-off training and tooling costs. Sustainability disclosures often require additional internal resources and external advisory input, which may disproportionately affect smaller firms.</w:t>
      </w:r>
      <w:r w:rsidR="00AF763D"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70F7C896" w14:textId="77777777" w:rsidR="00E052D6" w:rsidRDefault="00E052D6" w:rsidP="00AF763D">
      <w:pPr>
        <w:spacing w:after="0"/>
        <w:rPr>
          <w:sz w:val="20"/>
          <w:szCs w:val="18"/>
        </w:rPr>
      </w:pPr>
      <w:r w:rsidRPr="00E052D6">
        <w:rPr>
          <w:sz w:val="20"/>
          <w:szCs w:val="18"/>
        </w:rPr>
        <w:t>We believe that ESMA underestimates the total implementation cost for smaller reporting entities. The average cost of €4–€10k per markup can represent a significant expense, particularly for firms using external service providers. We encourage a more granular breakdown and inclusion of one-off training and tooling costs. Sustainability disclosures often require additional internal resources and external advisory input, which may disproportionately affect smaller firms.</w:t>
      </w:r>
    </w:p>
    <w:p w14:paraId="3622D66D" w14:textId="77777777" w:rsidR="00E052D6" w:rsidRPr="00E052D6" w:rsidRDefault="00E052D6" w:rsidP="00E052D6">
      <w:pPr>
        <w:spacing w:after="0"/>
        <w:rPr>
          <w:sz w:val="20"/>
          <w:szCs w:val="18"/>
        </w:rPr>
      </w:pPr>
      <w:r w:rsidRPr="00E052D6">
        <w:rPr>
          <w:sz w:val="20"/>
          <w:szCs w:val="18"/>
        </w:rPr>
        <w:t>In conclusion, while we support the EU's efforts to enhance transparency and sustainability reporting, it is essential that these initiatives are implemented in a manner that is practical, cost-effective, and accessible to all entities, particularly SMEs. Continuous engagement with stakeholders and flexibility in the implementation timeline will be crucial to ensuring the success of these regulations.</w:t>
      </w:r>
    </w:p>
    <w:p w14:paraId="7188F680" w14:textId="77777777" w:rsidR="00E052D6" w:rsidRPr="00E052D6" w:rsidRDefault="00E052D6" w:rsidP="00E052D6">
      <w:pPr>
        <w:spacing w:after="0"/>
        <w:rPr>
          <w:sz w:val="20"/>
          <w:szCs w:val="18"/>
        </w:rPr>
      </w:pPr>
      <w:r w:rsidRPr="00E052D6">
        <w:rPr>
          <w:sz w:val="20"/>
          <w:szCs w:val="18"/>
        </w:rPr>
        <w:t>This enhanced version incorporates your concerns about complexity and costs while supporting the EU's green initiatives. It emphasizes the need for flexibility, clear guidance, and support for SMEs during the implementation process.</w:t>
      </w:r>
    </w:p>
    <w:p w14:paraId="3924B938" w14:textId="0B8B102A"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w:t>
      </w:r>
      <w:r w:rsidRPr="00AF763D">
        <w:rPr>
          <w:rFonts w:eastAsia="Times New Roman"/>
          <w:color w:val="auto"/>
          <w:szCs w:val="22"/>
          <w:lang w:eastAsia="en-GB"/>
        </w:rPr>
        <w:lastRenderedPageBreak/>
        <w:t xml:space="preserve">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C308B" w14:textId="77777777" w:rsidR="00F17695" w:rsidRDefault="00F17695" w:rsidP="00F716D4">
      <w:r>
        <w:separator/>
      </w:r>
    </w:p>
    <w:p w14:paraId="466F095B" w14:textId="77777777" w:rsidR="00F17695" w:rsidRDefault="00F17695" w:rsidP="00F716D4"/>
  </w:endnote>
  <w:endnote w:type="continuationSeparator" w:id="0">
    <w:p w14:paraId="5F9F0B03" w14:textId="77777777" w:rsidR="00F17695" w:rsidRDefault="00F17695" w:rsidP="00F716D4">
      <w:r>
        <w:continuationSeparator/>
      </w:r>
    </w:p>
    <w:p w14:paraId="73764A81" w14:textId="77777777" w:rsidR="00F17695" w:rsidRDefault="00F17695" w:rsidP="00F716D4"/>
  </w:endnote>
  <w:endnote w:type="continuationNotice" w:id="1">
    <w:p w14:paraId="711D04E4" w14:textId="77777777" w:rsidR="00F17695" w:rsidRDefault="00F1769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proofErr w:type="spellStart"/>
      <w:r w:rsidRPr="00A8626B">
        <w:rPr>
          <w:rStyle w:val="Collegamentoipertestuale"/>
          <w:sz w:val="15"/>
          <w:szCs w:val="15"/>
          <w:lang w:val="fr-BE"/>
        </w:rPr>
        <w:t>europa</w:t>
      </w:r>
      <w:proofErr w:type="spellEnd"/>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9290" w14:textId="77777777" w:rsidR="00F17695" w:rsidRDefault="00F17695" w:rsidP="00F716D4">
      <w:r>
        <w:separator/>
      </w:r>
    </w:p>
    <w:p w14:paraId="0B269A79" w14:textId="77777777" w:rsidR="00F17695" w:rsidRDefault="00F17695" w:rsidP="00F716D4"/>
  </w:footnote>
  <w:footnote w:type="continuationSeparator" w:id="0">
    <w:p w14:paraId="2FD3004A" w14:textId="77777777" w:rsidR="00F17695" w:rsidRDefault="00F17695" w:rsidP="00F716D4">
      <w:r>
        <w:continuationSeparator/>
      </w:r>
    </w:p>
    <w:p w14:paraId="4CBEF31E" w14:textId="77777777" w:rsidR="00F17695" w:rsidRDefault="00F17695" w:rsidP="00F716D4"/>
  </w:footnote>
  <w:footnote w:type="continuationNotice" w:id="1">
    <w:p w14:paraId="0F4C5FA2" w14:textId="77777777" w:rsidR="00F17695" w:rsidRDefault="00F17695"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031AC"/>
    <w:multiLevelType w:val="multilevel"/>
    <w:tmpl w:val="81508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BFA262C"/>
    <w:multiLevelType w:val="multilevel"/>
    <w:tmpl w:val="45D0C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0"/>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7"/>
  </w:num>
  <w:num w:numId="19" w16cid:durableId="820345968">
    <w:abstractNumId w:val="26"/>
  </w:num>
  <w:num w:numId="20" w16cid:durableId="1805388212">
    <w:abstractNumId w:val="35"/>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7"/>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1"/>
  </w:num>
  <w:num w:numId="35" w16cid:durableId="674843309">
    <w:abstractNumId w:val="18"/>
  </w:num>
  <w:num w:numId="36" w16cid:durableId="1954971501">
    <w:abstractNumId w:val="38"/>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00104631">
    <w:abstractNumId w:val="3"/>
    <w:lvlOverride w:ilvl="0"/>
    <w:lvlOverride w:ilvl="1"/>
    <w:lvlOverride w:ilvl="2"/>
    <w:lvlOverride w:ilvl="3"/>
    <w:lvlOverride w:ilvl="4"/>
    <w:lvlOverride w:ilvl="5"/>
    <w:lvlOverride w:ilvl="6"/>
    <w:lvlOverride w:ilvl="7"/>
    <w:lvlOverride w:ilvl="8"/>
  </w:num>
  <w:num w:numId="47" w16cid:durableId="173153180">
    <w:abstractNumId w:val="15"/>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1A62"/>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52D6"/>
    <w:rsid w:val="00E063F8"/>
    <w:rsid w:val="00E114D6"/>
    <w:rsid w:val="00E1166E"/>
    <w:rsid w:val="00E11DBD"/>
    <w:rsid w:val="00E12BD6"/>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7695"/>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81818"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81818"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81818"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81818"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Carpredefinitoparagrafo"/>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F0000"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Carpredefinitoparagrafo"/>
    <w:rsid w:val="004E60D2"/>
  </w:style>
  <w:style w:type="character" w:customStyle="1" w:styleId="mandatory">
    <w:name w:val="mandatory"/>
    <w:basedOn w:val="Carpredefinitoparagrafo"/>
    <w:rsid w:val="00E54596"/>
  </w:style>
  <w:style w:type="character" w:customStyle="1" w:styleId="screen-reader-only">
    <w:name w:val="screen-reader-only"/>
    <w:basedOn w:val="Carpredefinitoparagrafo"/>
    <w:rsid w:val="00E54596"/>
  </w:style>
  <w:style w:type="paragraph" w:styleId="Nessunaspaziatura">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696">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13464723">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88219583">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822389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537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5883310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760553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47475248">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9327587">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3796</Words>
  <Characters>20048</Characters>
  <Application>Microsoft Office Word</Application>
  <DocSecurity>0</DocSecurity>
  <Lines>323</Lines>
  <Paragraphs>190</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Paolo Recaldini</cp:lastModifiedBy>
  <cp:revision>47</cp:revision>
  <cp:lastPrinted>2015-02-18T20:01:00Z</cp:lastPrinted>
  <dcterms:created xsi:type="dcterms:W3CDTF">2024-12-10T13:23:00Z</dcterms:created>
  <dcterms:modified xsi:type="dcterms:W3CDTF">2025-03-31T19:48:00Z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